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D4E5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关于茂名滨海发展集团有限公司海洋牧场海域及重力式网箱租金评估单位询价</w:t>
      </w:r>
    </w:p>
    <w:p w14:paraId="281DFD31">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采购的公告</w:t>
      </w:r>
    </w:p>
    <w:p w14:paraId="2D483A4C">
      <w:pPr>
        <w:rPr>
          <w:rFonts w:ascii="仿宋_GB2312" w:eastAsia="仿宋_GB2312"/>
          <w:sz w:val="32"/>
          <w:szCs w:val="32"/>
        </w:rPr>
      </w:pPr>
      <w:r>
        <w:rPr>
          <w:rFonts w:hint="eastAsia" w:ascii="仿宋_GB2312" w:eastAsia="仿宋_GB2312"/>
          <w:sz w:val="32"/>
          <w:szCs w:val="32"/>
        </w:rPr>
        <w:t>各单位：</w:t>
      </w:r>
    </w:p>
    <w:p w14:paraId="4446BF2A">
      <w:pPr>
        <w:ind w:firstLine="640" w:firstLineChars="200"/>
        <w:rPr>
          <w:rFonts w:hint="eastAsia" w:ascii="仿宋_GB2312" w:eastAsia="仿宋_GB2312"/>
          <w:sz w:val="32"/>
          <w:szCs w:val="32"/>
        </w:rPr>
      </w:pPr>
      <w:r>
        <w:rPr>
          <w:rFonts w:hint="eastAsia" w:ascii="仿宋_GB2312" w:eastAsia="仿宋_GB2312"/>
          <w:sz w:val="32"/>
          <w:szCs w:val="32"/>
        </w:rPr>
        <w:t>为规范我司海洋牧场海域及养殖设施租赁管理工作， 依据《中华人民共和国政府采购法》《国有资产评估管理办法》及地方海洋牧场项目管理相关规定， 选取具备相应资质的第三方评估机构，开展海洋牧场海域使用权、重力式网箱及桁架式网箱租金评估工作。</w:t>
      </w:r>
    </w:p>
    <w:p w14:paraId="15C5952B">
      <w:pPr>
        <w:ind w:firstLine="640" w:firstLineChars="200"/>
        <w:jc w:val="left"/>
        <w:rPr>
          <w:rFonts w:hint="eastAsia" w:ascii="仿宋_GB2312" w:eastAsia="仿宋_GB2312"/>
          <w:sz w:val="32"/>
          <w:szCs w:val="32"/>
        </w:rPr>
      </w:pPr>
      <w:r>
        <w:rPr>
          <w:rFonts w:hint="eastAsia" w:ascii="仿宋_GB2312" w:eastAsia="仿宋_GB2312"/>
          <w:sz w:val="32"/>
          <w:szCs w:val="32"/>
        </w:rPr>
        <w:t>现公开向社会进行该项目的询价</w:t>
      </w:r>
      <w:r>
        <w:rPr>
          <w:rFonts w:hint="eastAsia" w:ascii="仿宋_GB2312" w:eastAsia="仿宋_GB2312"/>
          <w:sz w:val="32"/>
          <w:szCs w:val="32"/>
          <w:lang w:eastAsia="zh-CN"/>
        </w:rPr>
        <w:t>（</w:t>
      </w:r>
      <w:r>
        <w:rPr>
          <w:rFonts w:hint="eastAsia" w:ascii="仿宋_GB2312" w:eastAsia="仿宋_GB2312"/>
          <w:sz w:val="32"/>
          <w:szCs w:val="32"/>
          <w:lang w:val="en-US" w:eastAsia="zh-CN"/>
        </w:rPr>
        <w:t>比</w:t>
      </w:r>
      <w:r>
        <w:rPr>
          <w:rFonts w:hint="eastAsia" w:ascii="仿宋_GB2312" w:eastAsia="仿宋_GB2312"/>
          <w:sz w:val="32"/>
          <w:szCs w:val="32"/>
          <w:lang w:eastAsia="zh-CN"/>
        </w:rPr>
        <w:t>）</w:t>
      </w:r>
      <w:r>
        <w:rPr>
          <w:rFonts w:hint="eastAsia" w:ascii="仿宋_GB2312" w:eastAsia="仿宋_GB2312"/>
          <w:sz w:val="32"/>
          <w:szCs w:val="32"/>
        </w:rPr>
        <w:t>采购工作，格式详见附件，请各意向单位按附件1和附件2格式，于2026</w:t>
      </w:r>
      <w:r>
        <w:rPr>
          <w:rFonts w:hint="eastAsia" w:ascii="仿宋_GB2312" w:eastAsia="仿宋_GB2312"/>
          <w:sz w:val="32"/>
          <w:szCs w:val="32"/>
          <w:lang w:val="en-US" w:eastAsia="zh-CN"/>
        </w:rPr>
        <w:t>年6</w:t>
      </w:r>
      <w:r>
        <w:rPr>
          <w:rFonts w:hint="eastAsia" w:ascii="仿宋_GB2312" w:eastAsia="仿宋_GB2312"/>
          <w:sz w:val="32"/>
          <w:szCs w:val="32"/>
        </w:rPr>
        <w:t>月</w:t>
      </w:r>
      <w:r>
        <w:rPr>
          <w:rFonts w:hint="eastAsia" w:ascii="仿宋_GB2312" w:eastAsia="仿宋_GB2312"/>
          <w:sz w:val="32"/>
          <w:szCs w:val="32"/>
          <w:lang w:val="en-US" w:eastAsia="zh-CN"/>
        </w:rPr>
        <w:t>11日</w:t>
      </w:r>
      <w:r>
        <w:rPr>
          <w:rFonts w:hint="eastAsia" w:ascii="仿宋_GB2312" w:eastAsia="仿宋_GB2312"/>
          <w:sz w:val="32"/>
          <w:szCs w:val="32"/>
        </w:rPr>
        <w:t>17:00</w:t>
      </w:r>
      <w:r>
        <w:rPr>
          <w:rFonts w:hint="eastAsia" w:ascii="仿宋_GB2312" w:eastAsia="仿宋_GB2312"/>
          <w:sz w:val="32"/>
          <w:szCs w:val="32"/>
          <w:lang w:val="en-US" w:eastAsia="zh-CN"/>
        </w:rPr>
        <w:t>前</w:t>
      </w:r>
      <w:r>
        <w:rPr>
          <w:rFonts w:hint="eastAsia" w:ascii="仿宋_GB2312" w:eastAsia="仿宋_GB2312"/>
          <w:sz w:val="32"/>
          <w:szCs w:val="32"/>
        </w:rPr>
        <w:t>将报价文件发送至</w:t>
      </w:r>
      <w:r>
        <w:rPr>
          <w:rFonts w:hint="eastAsia" w:ascii="仿宋_GB2312" w:eastAsia="仿宋_GB2312"/>
          <w:sz w:val="32"/>
          <w:szCs w:val="32"/>
          <w:lang w:val="en-US" w:eastAsia="zh-CN"/>
        </w:rPr>
        <w:t>邮箱</w:t>
      </w:r>
      <w:r>
        <w:rPr>
          <w:rFonts w:hint="eastAsia" w:ascii="仿宋_GB2312" w:eastAsia="仿宋_GB2312"/>
          <w:sz w:val="32"/>
          <w:szCs w:val="32"/>
        </w:rPr>
        <w:t>323431302@qq.com  。特此公告。</w:t>
      </w:r>
    </w:p>
    <w:p w14:paraId="42A6A1FA">
      <w:pPr>
        <w:ind w:firstLine="640" w:firstLineChars="200"/>
        <w:rPr>
          <w:rFonts w:ascii="仿宋_GB2312" w:eastAsia="仿宋_GB2312"/>
          <w:sz w:val="32"/>
          <w:szCs w:val="32"/>
        </w:rPr>
      </w:pPr>
      <w:r>
        <w:rPr>
          <w:rFonts w:hint="eastAsia" w:ascii="仿宋_GB2312" w:eastAsia="仿宋_GB2312"/>
          <w:sz w:val="32"/>
          <w:szCs w:val="32"/>
          <w:lang w:val="en-US" w:eastAsia="zh-CN"/>
        </w:rPr>
        <w:t>联系方式：06685994690。</w:t>
      </w:r>
    </w:p>
    <w:p w14:paraId="0DA0D7EE">
      <w:pPr>
        <w:ind w:left="1559" w:leftChars="270" w:hanging="992" w:hangingChars="310"/>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eastAsia="zh-CN"/>
        </w:rPr>
        <w:t>：</w:t>
      </w:r>
      <w:r>
        <w:rPr>
          <w:rFonts w:hint="eastAsia" w:ascii="仿宋_GB2312" w:eastAsia="仿宋_GB2312"/>
          <w:sz w:val="32"/>
          <w:szCs w:val="32"/>
          <w:lang w:val="en-US" w:eastAsia="zh-CN"/>
        </w:rPr>
        <w:t>1.海洋牧场海域及重力式网箱租金评估单位工询价采购函</w:t>
      </w:r>
    </w:p>
    <w:p w14:paraId="5DC79566">
      <w:pPr>
        <w:numPr>
          <w:numId w:val="0"/>
        </w:numPr>
        <w:ind w:left="1527" w:leftChars="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2.投标人资格、文件符合性审查表 </w:t>
      </w:r>
    </w:p>
    <w:p w14:paraId="408BCE8F">
      <w:pPr>
        <w:numPr>
          <w:numId w:val="0"/>
        </w:numPr>
        <w:ind w:left="1527" w:leftChars="0"/>
        <w:rPr>
          <w:rFonts w:hint="default" w:ascii="仿宋_GB2312" w:eastAsia="仿宋_GB2312"/>
          <w:sz w:val="32"/>
          <w:szCs w:val="32"/>
          <w:lang w:val="en-US" w:eastAsia="zh-CN"/>
        </w:rPr>
      </w:pPr>
    </w:p>
    <w:p w14:paraId="6BB53DBD">
      <w:pPr>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茂名滨海发展集团有限公司</w:t>
      </w:r>
    </w:p>
    <w:p w14:paraId="6D1F33D4">
      <w:pPr>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6月8日</w:t>
      </w:r>
    </w:p>
    <w:p w14:paraId="4EDB7099">
      <w:pPr>
        <w:widowControl/>
        <w:jc w:val="left"/>
        <w:rPr>
          <w:rFonts w:hint="eastAsia" w:ascii="黑体" w:hAnsi="黑体" w:eastAsia="黑体" w:cs="黑体"/>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14:paraId="5F672F80">
      <w:pPr>
        <w:widowControl/>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1（报价部分）</w:t>
      </w:r>
    </w:p>
    <w:tbl>
      <w:tblPr>
        <w:tblStyle w:val="7"/>
        <w:tblW w:w="5000" w:type="pct"/>
        <w:jc w:val="center"/>
        <w:tblLayout w:type="autofit"/>
        <w:tblCellMar>
          <w:top w:w="0" w:type="dxa"/>
          <w:left w:w="108" w:type="dxa"/>
          <w:bottom w:w="0" w:type="dxa"/>
          <w:right w:w="108" w:type="dxa"/>
        </w:tblCellMar>
      </w:tblPr>
      <w:tblGrid>
        <w:gridCol w:w="572"/>
        <w:gridCol w:w="999"/>
        <w:gridCol w:w="844"/>
        <w:gridCol w:w="840"/>
        <w:gridCol w:w="111"/>
        <w:gridCol w:w="111"/>
        <w:gridCol w:w="4201"/>
        <w:gridCol w:w="844"/>
      </w:tblGrid>
      <w:tr w14:paraId="6274D2CB">
        <w:tblPrEx>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auto"/>
            <w:vAlign w:val="center"/>
          </w:tcPr>
          <w:p w14:paraId="63F766AE">
            <w:pPr>
              <w:snapToGrid w:val="0"/>
              <w:jc w:val="center"/>
              <w:rPr>
                <w:rFonts w:ascii="方正小标宋简体" w:hAnsi="等线" w:eastAsia="方正小标宋简体" w:cs="宋体"/>
                <w:color w:val="000000"/>
                <w:kern w:val="0"/>
                <w:sz w:val="36"/>
                <w:szCs w:val="36"/>
              </w:rPr>
            </w:pPr>
            <w:r>
              <w:rPr>
                <w:rFonts w:hint="eastAsia" w:ascii="方正小标宋简体" w:hAnsi="等线" w:eastAsia="方正小标宋简体" w:cs="宋体"/>
                <w:color w:val="000000"/>
                <w:kern w:val="0"/>
                <w:sz w:val="32"/>
                <w:szCs w:val="32"/>
              </w:rPr>
              <w:t>海洋牧场海域及重力式网箱租金评估单位工询价采购函</w:t>
            </w:r>
          </w:p>
        </w:tc>
      </w:tr>
      <w:tr w14:paraId="260F234A">
        <w:tblPrEx>
          <w:tblCellMar>
            <w:top w:w="0" w:type="dxa"/>
            <w:left w:w="108" w:type="dxa"/>
            <w:bottom w:w="0" w:type="dxa"/>
            <w:right w:w="108" w:type="dxa"/>
          </w:tblCellMar>
        </w:tblPrEx>
        <w:trPr>
          <w:trHeight w:val="0" w:hRule="atLeast"/>
          <w:jc w:val="center"/>
        </w:trPr>
        <w:tc>
          <w:tcPr>
            <w:tcW w:w="5000" w:type="pct"/>
            <w:gridSpan w:val="8"/>
            <w:tcBorders>
              <w:top w:val="nil"/>
              <w:left w:val="nil"/>
              <w:bottom w:val="single" w:color="auto" w:sz="4" w:space="0"/>
              <w:right w:val="nil"/>
            </w:tcBorders>
            <w:shd w:val="clear" w:color="auto" w:fill="auto"/>
            <w:vAlign w:val="center"/>
          </w:tcPr>
          <w:p w14:paraId="36C7B24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6月8日</w:t>
            </w:r>
          </w:p>
        </w:tc>
      </w:tr>
      <w:tr w14:paraId="536F15A7">
        <w:tblPrEx>
          <w:tblCellMar>
            <w:top w:w="0" w:type="dxa"/>
            <w:left w:w="108" w:type="dxa"/>
            <w:bottom w:w="0" w:type="dxa"/>
            <w:right w:w="108" w:type="dxa"/>
          </w:tblCellMar>
        </w:tblPrEx>
        <w:trPr>
          <w:trHeight w:val="0" w:hRule="atLeast"/>
          <w:jc w:val="center"/>
        </w:trPr>
        <w:tc>
          <w:tcPr>
            <w:tcW w:w="336" w:type="pct"/>
            <w:vMerge w:val="restart"/>
            <w:tcBorders>
              <w:left w:val="single" w:color="auto" w:sz="4" w:space="0"/>
              <w:right w:val="single" w:color="auto" w:sz="4" w:space="0"/>
            </w:tcBorders>
            <w:vAlign w:val="center"/>
          </w:tcPr>
          <w:p w14:paraId="3D4867F2">
            <w:pPr>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586" w:type="pct"/>
            <w:tcBorders>
              <w:top w:val="single" w:color="auto" w:sz="4" w:space="0"/>
              <w:left w:val="nil"/>
              <w:bottom w:val="single" w:color="auto" w:sz="4" w:space="0"/>
              <w:right w:val="single" w:color="auto" w:sz="4" w:space="0"/>
            </w:tcBorders>
            <w:shd w:val="clear" w:color="auto" w:fill="auto"/>
            <w:vAlign w:val="center"/>
          </w:tcPr>
          <w:p w14:paraId="1DC8805D">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4077" w:type="pct"/>
            <w:gridSpan w:val="6"/>
            <w:tcBorders>
              <w:top w:val="single" w:color="auto" w:sz="4" w:space="0"/>
              <w:left w:val="nil"/>
              <w:bottom w:val="single" w:color="auto" w:sz="4" w:space="0"/>
              <w:right w:val="single" w:color="auto" w:sz="4" w:space="0"/>
            </w:tcBorders>
            <w:shd w:val="clear" w:color="auto" w:fill="auto"/>
            <w:vAlign w:val="center"/>
          </w:tcPr>
          <w:p w14:paraId="12ED1A17">
            <w:pPr>
              <w:widowControl/>
              <w:numPr>
                <w:ilvl w:val="0"/>
                <w:numId w:val="0"/>
              </w:numPr>
              <w:snapToGrid w:val="0"/>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茂名滨海发展集团有限公司海洋牧场海域及重力式网箱租金评估单位采购项目</w:t>
            </w:r>
          </w:p>
        </w:tc>
      </w:tr>
      <w:tr w14:paraId="4B14A10D">
        <w:tblPrEx>
          <w:tblCellMar>
            <w:top w:w="0" w:type="dxa"/>
            <w:left w:w="108" w:type="dxa"/>
            <w:bottom w:w="0" w:type="dxa"/>
            <w:right w:w="108" w:type="dxa"/>
          </w:tblCellMar>
        </w:tblPrEx>
        <w:trPr>
          <w:trHeight w:val="0" w:hRule="atLeast"/>
          <w:jc w:val="center"/>
        </w:trPr>
        <w:tc>
          <w:tcPr>
            <w:tcW w:w="336" w:type="pct"/>
            <w:vMerge w:val="continue"/>
            <w:tcBorders>
              <w:left w:val="single" w:color="auto" w:sz="4" w:space="0"/>
              <w:right w:val="single" w:color="auto" w:sz="4" w:space="0"/>
            </w:tcBorders>
            <w:vAlign w:val="center"/>
          </w:tcPr>
          <w:p w14:paraId="656F757B">
            <w:pPr>
              <w:widowControl/>
              <w:snapToGrid w:val="0"/>
              <w:jc w:val="center"/>
              <w:rPr>
                <w:rFonts w:ascii="宋体" w:hAnsi="宋体" w:eastAsia="宋体" w:cs="宋体"/>
                <w:color w:val="000000"/>
                <w:kern w:val="0"/>
                <w:sz w:val="24"/>
                <w:szCs w:val="24"/>
              </w:rPr>
            </w:pPr>
          </w:p>
        </w:tc>
        <w:tc>
          <w:tcPr>
            <w:tcW w:w="586" w:type="pct"/>
            <w:tcBorders>
              <w:top w:val="single" w:color="auto" w:sz="4" w:space="0"/>
              <w:left w:val="nil"/>
              <w:bottom w:val="single" w:color="auto" w:sz="4" w:space="0"/>
              <w:right w:val="single" w:color="auto" w:sz="4" w:space="0"/>
            </w:tcBorders>
            <w:shd w:val="clear" w:color="auto" w:fill="auto"/>
            <w:vAlign w:val="center"/>
          </w:tcPr>
          <w:p w14:paraId="62B646FF">
            <w:pPr>
              <w:widowControl/>
              <w:snapToGrid w:val="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业主单位</w:t>
            </w:r>
          </w:p>
        </w:tc>
        <w:tc>
          <w:tcPr>
            <w:tcW w:w="4077" w:type="pct"/>
            <w:gridSpan w:val="6"/>
            <w:tcBorders>
              <w:top w:val="single" w:color="auto" w:sz="4" w:space="0"/>
              <w:left w:val="nil"/>
              <w:bottom w:val="single" w:color="auto" w:sz="4" w:space="0"/>
              <w:right w:val="single" w:color="auto" w:sz="4" w:space="0"/>
            </w:tcBorders>
            <w:shd w:val="clear" w:color="auto" w:fill="auto"/>
            <w:vAlign w:val="center"/>
          </w:tcPr>
          <w:p w14:paraId="5C638634">
            <w:pPr>
              <w:widowControl/>
              <w:numPr>
                <w:ilvl w:val="0"/>
                <w:numId w:val="0"/>
              </w:numPr>
              <w:snapToGrid w:val="0"/>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茂名滨海发展集团有限公司</w:t>
            </w:r>
          </w:p>
        </w:tc>
      </w:tr>
      <w:tr w14:paraId="0A95A150">
        <w:tblPrEx>
          <w:tblCellMar>
            <w:top w:w="0" w:type="dxa"/>
            <w:left w:w="108" w:type="dxa"/>
            <w:bottom w:w="0" w:type="dxa"/>
            <w:right w:w="108" w:type="dxa"/>
          </w:tblCellMar>
        </w:tblPrEx>
        <w:trPr>
          <w:trHeight w:val="0" w:hRule="atLeast"/>
          <w:jc w:val="center"/>
        </w:trPr>
        <w:tc>
          <w:tcPr>
            <w:tcW w:w="336" w:type="pct"/>
            <w:vMerge w:val="continue"/>
            <w:tcBorders>
              <w:left w:val="single" w:color="auto" w:sz="4" w:space="0"/>
              <w:right w:val="single" w:color="auto" w:sz="4" w:space="0"/>
            </w:tcBorders>
            <w:vAlign w:val="center"/>
          </w:tcPr>
          <w:p w14:paraId="3875D9C8">
            <w:pPr>
              <w:widowControl/>
              <w:snapToGrid w:val="0"/>
              <w:jc w:val="center"/>
              <w:rPr>
                <w:rFonts w:ascii="宋体" w:hAnsi="宋体" w:eastAsia="宋体" w:cs="宋体"/>
                <w:color w:val="000000"/>
                <w:kern w:val="0"/>
                <w:sz w:val="24"/>
                <w:szCs w:val="24"/>
              </w:rPr>
            </w:pPr>
          </w:p>
        </w:tc>
        <w:tc>
          <w:tcPr>
            <w:tcW w:w="586" w:type="pct"/>
            <w:tcBorders>
              <w:top w:val="single" w:color="auto" w:sz="4" w:space="0"/>
              <w:left w:val="nil"/>
              <w:bottom w:val="single" w:color="auto" w:sz="4" w:space="0"/>
              <w:right w:val="single" w:color="auto" w:sz="4" w:space="0"/>
            </w:tcBorders>
            <w:shd w:val="clear" w:color="auto" w:fill="auto"/>
            <w:vAlign w:val="center"/>
          </w:tcPr>
          <w:p w14:paraId="7FFADDF9">
            <w:pPr>
              <w:widowControl/>
              <w:snapToGrid w:val="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概况</w:t>
            </w:r>
          </w:p>
        </w:tc>
        <w:tc>
          <w:tcPr>
            <w:tcW w:w="4077" w:type="pct"/>
            <w:gridSpan w:val="6"/>
            <w:tcBorders>
              <w:top w:val="single" w:color="auto" w:sz="4" w:space="0"/>
              <w:left w:val="nil"/>
              <w:bottom w:val="single" w:color="auto" w:sz="4" w:space="0"/>
              <w:right w:val="single" w:color="auto" w:sz="4" w:space="0"/>
            </w:tcBorders>
            <w:shd w:val="clear" w:color="auto" w:fill="auto"/>
            <w:vAlign w:val="center"/>
          </w:tcPr>
          <w:p w14:paraId="2006F0CF">
            <w:pPr>
              <w:widowControl/>
              <w:numPr>
                <w:ilvl w:val="0"/>
                <w:numId w:val="0"/>
              </w:numPr>
              <w:snapToGrid w:val="0"/>
              <w:rPr>
                <w:rFonts w:hint="default" w:ascii="楷体_GB2312" w:hAnsi="楷体_GB2312" w:eastAsia="楷体_GB2312" w:cs="楷体_GB2312"/>
                <w:sz w:val="24"/>
                <w:szCs w:val="24"/>
                <w:lang w:val="en-US" w:eastAsia="zh-CN"/>
              </w:rPr>
            </w:pPr>
            <w:r>
              <w:rPr>
                <w:rFonts w:hint="default" w:ascii="仿宋" w:hAnsi="仿宋" w:eastAsia="仿宋" w:cs="仿宋"/>
                <w:i w:val="0"/>
                <w:iCs w:val="0"/>
                <w:caps w:val="0"/>
                <w:color w:val="000000"/>
                <w:spacing w:val="0"/>
                <w:kern w:val="0"/>
                <w:sz w:val="24"/>
                <w:szCs w:val="24"/>
                <w:lang w:val="en-US" w:eastAsia="zh-CN" w:bidi="ar"/>
              </w:rPr>
              <w:t>我司投资建设的海洋牧场项目，规划配置一定规模的养殖海域及配套重力式网箱、桁架式网箱，后续拟通过租赁方式交由专业养殖主体运营。为避免租金定价随意性，杜绝国有资产收益流失，确保租赁行为公开、公平、公正，需委托专业评估单位，结合海域区位、面积、养殖条件、网箱规格材质、使用年限及市场行情等因素，出具客观、权威的租金评估报告，作为租金定价、签订租赁合同的法定依据，同时满足国有资产监管及项目合规运营要求。</w:t>
            </w:r>
          </w:p>
        </w:tc>
      </w:tr>
      <w:tr w14:paraId="7A5062D4">
        <w:tblPrEx>
          <w:tblCellMar>
            <w:top w:w="0" w:type="dxa"/>
            <w:left w:w="108" w:type="dxa"/>
            <w:bottom w:w="0" w:type="dxa"/>
            <w:right w:w="108" w:type="dxa"/>
          </w:tblCellMar>
        </w:tblPrEx>
        <w:trPr>
          <w:trHeight w:val="0" w:hRule="atLeast"/>
          <w:jc w:val="center"/>
        </w:trPr>
        <w:tc>
          <w:tcPr>
            <w:tcW w:w="336" w:type="pct"/>
            <w:vMerge w:val="continue"/>
            <w:tcBorders>
              <w:left w:val="single" w:color="auto" w:sz="4" w:space="0"/>
              <w:bottom w:val="single" w:color="auto" w:sz="4" w:space="0"/>
              <w:right w:val="single" w:color="auto" w:sz="4" w:space="0"/>
            </w:tcBorders>
            <w:vAlign w:val="center"/>
          </w:tcPr>
          <w:p w14:paraId="295A4272">
            <w:pPr>
              <w:widowControl/>
              <w:snapToGrid w:val="0"/>
              <w:jc w:val="left"/>
              <w:rPr>
                <w:rFonts w:ascii="宋体" w:hAnsi="宋体" w:eastAsia="宋体" w:cs="宋体"/>
                <w:color w:val="000000"/>
                <w:kern w:val="0"/>
                <w:sz w:val="24"/>
                <w:szCs w:val="24"/>
              </w:rPr>
            </w:pPr>
          </w:p>
        </w:tc>
        <w:tc>
          <w:tcPr>
            <w:tcW w:w="586" w:type="pct"/>
            <w:tcBorders>
              <w:top w:val="single" w:color="auto" w:sz="4" w:space="0"/>
              <w:left w:val="nil"/>
              <w:bottom w:val="single" w:color="auto" w:sz="4" w:space="0"/>
              <w:right w:val="single" w:color="auto" w:sz="4" w:space="0"/>
            </w:tcBorders>
            <w:shd w:val="clear" w:color="auto" w:fill="auto"/>
            <w:vAlign w:val="center"/>
          </w:tcPr>
          <w:p w14:paraId="16D6CB50">
            <w:pPr>
              <w:widowControl/>
              <w:snapToGrid w:val="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服务范围及要求</w:t>
            </w:r>
          </w:p>
        </w:tc>
        <w:tc>
          <w:tcPr>
            <w:tcW w:w="4077" w:type="pct"/>
            <w:gridSpan w:val="6"/>
            <w:tcBorders>
              <w:top w:val="single" w:color="auto" w:sz="4" w:space="0"/>
              <w:left w:val="nil"/>
              <w:bottom w:val="single" w:color="auto" w:sz="4" w:space="0"/>
              <w:right w:val="single" w:color="auto" w:sz="4" w:space="0"/>
            </w:tcBorders>
            <w:shd w:val="clear" w:color="auto" w:fill="auto"/>
            <w:vAlign w:val="center"/>
          </w:tcPr>
          <w:p w14:paraId="3780FA67">
            <w:pPr>
              <w:widowControl/>
              <w:numPr>
                <w:ilvl w:val="0"/>
                <w:numId w:val="0"/>
              </w:numPr>
              <w:snapToGrid w:val="0"/>
              <w:rPr>
                <w:rFonts w:hint="default" w:ascii="仿宋" w:hAnsi="仿宋" w:eastAsia="仿宋" w:cs="仿宋"/>
                <w:i w:val="0"/>
                <w:iCs w:val="0"/>
                <w:caps w:val="0"/>
                <w:color w:val="000000"/>
                <w:spacing w:val="0"/>
                <w:kern w:val="0"/>
                <w:sz w:val="24"/>
                <w:szCs w:val="24"/>
                <w:lang w:val="en-US" w:eastAsia="zh-CN" w:bidi="ar"/>
              </w:rPr>
            </w:pPr>
            <w:r>
              <w:rPr>
                <w:rFonts w:hint="default" w:ascii="仿宋" w:hAnsi="仿宋" w:eastAsia="仿宋" w:cs="仿宋"/>
                <w:i w:val="0"/>
                <w:iCs w:val="0"/>
                <w:caps w:val="0"/>
                <w:color w:val="000000"/>
                <w:spacing w:val="0"/>
                <w:kern w:val="0"/>
                <w:sz w:val="24"/>
                <w:szCs w:val="24"/>
                <w:lang w:val="en-US" w:eastAsia="zh-CN" w:bidi="ar"/>
              </w:rPr>
              <w:t>（一）海洋牧场海域租金评估：对项目所属指定养殖海域的使用权年租金进行评估，明确租金标准及浮动依据。</w:t>
            </w:r>
          </w:p>
          <w:p w14:paraId="298E9E02">
            <w:pPr>
              <w:widowControl/>
              <w:numPr>
                <w:ilvl w:val="0"/>
                <w:numId w:val="0"/>
              </w:numPr>
              <w:snapToGrid w:val="0"/>
              <w:rPr>
                <w:rFonts w:hint="default" w:ascii="仿宋" w:hAnsi="仿宋" w:eastAsia="仿宋" w:cs="仿宋"/>
                <w:i w:val="0"/>
                <w:iCs w:val="0"/>
                <w:caps w:val="0"/>
                <w:color w:val="000000"/>
                <w:spacing w:val="0"/>
                <w:kern w:val="0"/>
                <w:sz w:val="24"/>
                <w:szCs w:val="24"/>
                <w:lang w:val="en-US" w:eastAsia="zh-CN" w:bidi="ar"/>
              </w:rPr>
            </w:pPr>
            <w:r>
              <w:rPr>
                <w:rFonts w:hint="default" w:ascii="仿宋" w:hAnsi="仿宋" w:eastAsia="仿宋" w:cs="仿宋"/>
                <w:i w:val="0"/>
                <w:iCs w:val="0"/>
                <w:caps w:val="0"/>
                <w:color w:val="000000"/>
                <w:spacing w:val="0"/>
                <w:kern w:val="0"/>
                <w:sz w:val="24"/>
                <w:szCs w:val="24"/>
                <w:lang w:val="en-US" w:eastAsia="zh-CN" w:bidi="ar"/>
              </w:rPr>
              <w:t>（二）重力式网箱租金评估：对项目配套的重力式网箱（含附属设施）年租金进行评估，综合考量设备原值、折旧、维护成本、市场租赁价格等因素。</w:t>
            </w:r>
          </w:p>
          <w:p w14:paraId="031101F5">
            <w:pPr>
              <w:widowControl/>
              <w:numPr>
                <w:ilvl w:val="0"/>
                <w:numId w:val="0"/>
              </w:numPr>
              <w:snapToGrid w:val="0"/>
              <w:rPr>
                <w:rFonts w:hint="default" w:ascii="仿宋" w:hAnsi="仿宋" w:eastAsia="仿宋" w:cs="仿宋"/>
                <w:i w:val="0"/>
                <w:iCs w:val="0"/>
                <w:caps w:val="0"/>
                <w:color w:val="000000"/>
                <w:spacing w:val="0"/>
                <w:kern w:val="0"/>
                <w:sz w:val="24"/>
                <w:szCs w:val="24"/>
                <w:lang w:val="en-US" w:eastAsia="zh-CN" w:bidi="ar"/>
              </w:rPr>
            </w:pPr>
            <w:r>
              <w:rPr>
                <w:rFonts w:hint="default" w:ascii="仿宋" w:hAnsi="仿宋" w:eastAsia="仿宋" w:cs="仿宋"/>
                <w:i w:val="0"/>
                <w:iCs w:val="0"/>
                <w:caps w:val="0"/>
                <w:color w:val="000000"/>
                <w:spacing w:val="0"/>
                <w:kern w:val="0"/>
                <w:sz w:val="24"/>
                <w:szCs w:val="24"/>
                <w:lang w:val="en-US" w:eastAsia="zh-CN" w:bidi="ar"/>
              </w:rPr>
              <w:t>（三）桁架式网箱租金评估：对项目配套的桁架式网箱（含配套构件、锚固系统等）年租金进行评估，并进行合同测算。</w:t>
            </w:r>
          </w:p>
          <w:p w14:paraId="20D2AABF">
            <w:pPr>
              <w:widowControl/>
              <w:numPr>
                <w:ilvl w:val="0"/>
                <w:numId w:val="0"/>
              </w:numPr>
              <w:snapToGrid w:val="0"/>
              <w:rPr>
                <w:rFonts w:hint="default" w:ascii="仿宋" w:hAnsi="仿宋" w:eastAsia="仿宋" w:cs="仿宋"/>
                <w:i w:val="0"/>
                <w:iCs w:val="0"/>
                <w:caps w:val="0"/>
                <w:color w:val="000000"/>
                <w:spacing w:val="0"/>
                <w:kern w:val="0"/>
                <w:sz w:val="24"/>
                <w:szCs w:val="24"/>
                <w:lang w:val="en-US" w:eastAsia="zh-CN" w:bidi="ar"/>
              </w:rPr>
            </w:pPr>
            <w:r>
              <w:rPr>
                <w:rFonts w:hint="default" w:ascii="仿宋" w:hAnsi="仿宋" w:eastAsia="仿宋" w:cs="仿宋"/>
                <w:i w:val="0"/>
                <w:iCs w:val="0"/>
                <w:caps w:val="0"/>
                <w:color w:val="000000"/>
                <w:spacing w:val="0"/>
                <w:kern w:val="0"/>
                <w:sz w:val="24"/>
                <w:szCs w:val="24"/>
                <w:lang w:val="en-US" w:eastAsia="zh-CN" w:bidi="ar"/>
              </w:rPr>
              <w:t>出具专业《海域使用权及网箱设施租金评估报告》。</w:t>
            </w:r>
          </w:p>
          <w:p w14:paraId="7E5865B2">
            <w:pPr>
              <w:widowControl/>
              <w:numPr>
                <w:ilvl w:val="0"/>
                <w:numId w:val="0"/>
              </w:numPr>
              <w:snapToGrid w:val="0"/>
              <w:rPr>
                <w:rFonts w:hint="default"/>
                <w:lang w:val="en-US" w:eastAsia="zh-CN"/>
              </w:rPr>
            </w:pPr>
            <w:r>
              <w:rPr>
                <w:rFonts w:hint="eastAsia" w:ascii="仿宋" w:hAnsi="仿宋" w:eastAsia="仿宋" w:cs="仿宋"/>
                <w:i w:val="0"/>
                <w:iCs w:val="0"/>
                <w:caps w:val="0"/>
                <w:color w:val="000000"/>
                <w:spacing w:val="0"/>
                <w:kern w:val="0"/>
                <w:sz w:val="24"/>
                <w:szCs w:val="24"/>
                <w:lang w:val="en-US" w:eastAsia="zh-CN" w:bidi="ar"/>
              </w:rPr>
              <w:t>（四）服务期限：自合同签订之日起30个日历天内完成全部评估工作，并提交正式评估报告（纸质版+电子版）。</w:t>
            </w:r>
          </w:p>
        </w:tc>
      </w:tr>
      <w:tr w14:paraId="3F78F546">
        <w:tblPrEx>
          <w:tblCellMar>
            <w:top w:w="0" w:type="dxa"/>
            <w:left w:w="108" w:type="dxa"/>
            <w:bottom w:w="0" w:type="dxa"/>
            <w:right w:w="108" w:type="dxa"/>
          </w:tblCellMar>
        </w:tblPrEx>
        <w:trPr>
          <w:trHeight w:val="0" w:hRule="atLeast"/>
          <w:jc w:val="center"/>
        </w:trPr>
        <w:tc>
          <w:tcPr>
            <w:tcW w:w="336" w:type="pct"/>
            <w:vMerge w:val="continue"/>
            <w:tcBorders>
              <w:left w:val="single" w:color="auto" w:sz="4" w:space="0"/>
              <w:bottom w:val="single" w:color="auto" w:sz="4" w:space="0"/>
              <w:right w:val="single" w:color="auto" w:sz="4" w:space="0"/>
            </w:tcBorders>
            <w:vAlign w:val="center"/>
          </w:tcPr>
          <w:p w14:paraId="2D5FA524">
            <w:pPr>
              <w:widowControl/>
              <w:snapToGrid w:val="0"/>
              <w:jc w:val="left"/>
              <w:rPr>
                <w:rFonts w:ascii="宋体" w:hAnsi="宋体" w:eastAsia="宋体" w:cs="宋体"/>
                <w:color w:val="000000"/>
                <w:kern w:val="0"/>
                <w:sz w:val="24"/>
                <w:szCs w:val="24"/>
              </w:rPr>
            </w:pPr>
          </w:p>
        </w:tc>
        <w:tc>
          <w:tcPr>
            <w:tcW w:w="586" w:type="pct"/>
            <w:tcBorders>
              <w:top w:val="single" w:color="auto" w:sz="4" w:space="0"/>
              <w:left w:val="nil"/>
              <w:bottom w:val="single" w:color="auto" w:sz="4" w:space="0"/>
              <w:right w:val="single" w:color="auto" w:sz="4" w:space="0"/>
            </w:tcBorders>
            <w:shd w:val="clear" w:color="auto" w:fill="auto"/>
            <w:vAlign w:val="center"/>
          </w:tcPr>
          <w:p w14:paraId="6D775318">
            <w:pPr>
              <w:widowControl/>
              <w:snapToGrid w:val="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资质要求</w:t>
            </w:r>
          </w:p>
        </w:tc>
        <w:tc>
          <w:tcPr>
            <w:tcW w:w="4077" w:type="pct"/>
            <w:gridSpan w:val="6"/>
            <w:tcBorders>
              <w:top w:val="single" w:color="auto" w:sz="4" w:space="0"/>
              <w:left w:val="nil"/>
              <w:bottom w:val="single" w:color="auto" w:sz="4" w:space="0"/>
              <w:right w:val="single" w:color="auto" w:sz="4" w:space="0"/>
            </w:tcBorders>
            <w:shd w:val="clear" w:color="auto" w:fill="auto"/>
            <w:vAlign w:val="center"/>
          </w:tcPr>
          <w:p w14:paraId="7FD65C67">
            <w:pPr>
              <w:widowControl/>
              <w:numPr>
                <w:ilvl w:val="0"/>
                <w:numId w:val="0"/>
              </w:numPr>
              <w:snapToGrid w:val="0"/>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1.具备独立法人资格，营业执照经营范围包含资产评估、土地评估或房地产评估相关内容。</w:t>
            </w:r>
          </w:p>
          <w:p w14:paraId="046042A1">
            <w:pPr>
              <w:widowControl/>
              <w:numPr>
                <w:ilvl w:val="0"/>
                <w:numId w:val="0"/>
              </w:numPr>
              <w:snapToGrid w:val="0"/>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2.具有财政部门颁发的资产评估机构备案证明（或省级财政部门备案公告），或土地/房地产估价机构备案证明。</w:t>
            </w:r>
          </w:p>
          <w:p w14:paraId="653E736B">
            <w:pPr>
              <w:widowControl/>
              <w:numPr>
                <w:ilvl w:val="0"/>
                <w:numId w:val="0"/>
              </w:numPr>
              <w:snapToGrid w:val="0"/>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3.项目负责人须持有注册资产评估师或相应专业评估师资格证书，并提供近3个月社保证明。</w:t>
            </w:r>
          </w:p>
          <w:p w14:paraId="6FFBFE50">
            <w:pPr>
              <w:widowControl/>
              <w:numPr>
                <w:ilvl w:val="0"/>
                <w:numId w:val="0"/>
              </w:numPr>
              <w:snapToGrid w:val="0"/>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4.具有类似海域使用权、养殖设施（网箱）或涉海资产租金评估的服务业绩（至少提供1份合同复印件）。</w:t>
            </w:r>
          </w:p>
          <w:p w14:paraId="5138ACE1">
            <w:pPr>
              <w:widowControl/>
              <w:numPr>
                <w:ilvl w:val="0"/>
                <w:numId w:val="0"/>
              </w:numPr>
              <w:snapToGrid w:val="0"/>
              <w:rPr>
                <w:rFonts w:hint="default" w:ascii="楷体_GB2312" w:hAnsi="楷体_GB2312" w:eastAsia="楷体_GB2312" w:cs="楷体_GB2312"/>
                <w:sz w:val="24"/>
                <w:szCs w:val="24"/>
                <w:lang w:val="en-US" w:eastAsia="zh-CN"/>
              </w:rPr>
            </w:pPr>
            <w:r>
              <w:rPr>
                <w:rFonts w:hint="eastAsia" w:ascii="仿宋" w:hAnsi="仿宋" w:eastAsia="仿宋" w:cs="仿宋"/>
                <w:i w:val="0"/>
                <w:iCs w:val="0"/>
                <w:caps w:val="0"/>
                <w:color w:val="000000"/>
                <w:spacing w:val="0"/>
                <w:kern w:val="0"/>
                <w:sz w:val="24"/>
                <w:szCs w:val="24"/>
                <w:lang w:val="en-US" w:eastAsia="zh-CN" w:bidi="ar"/>
              </w:rPr>
              <w:t>5. 信用良好，无重大违法记录，不接受联合体投标，具体附件2。</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6.企业信用良好，</w:t>
            </w:r>
            <w:r>
              <w:rPr>
                <w:rFonts w:hint="default" w:ascii="仿宋" w:hAnsi="仿宋" w:eastAsia="仿宋" w:cs="仿宋"/>
                <w:i w:val="0"/>
                <w:iCs w:val="0"/>
                <w:caps w:val="0"/>
                <w:color w:val="000000"/>
                <w:spacing w:val="0"/>
                <w:kern w:val="0"/>
                <w:sz w:val="24"/>
                <w:szCs w:val="24"/>
                <w:lang w:val="en-US" w:eastAsia="zh-CN" w:bidi="ar"/>
              </w:rPr>
              <w:t>供应商未被列入“信用中国”网站(www.creditchina.gov.cn)“记录失信被执行人或重大税收违法案件黑名单”记录名单；不处于中国政府采购网(www.ccgp.gov.cn) “政府采购严重违法失信行为信息记录”中的禁止参加政府采购活动期间</w:t>
            </w:r>
            <w:r>
              <w:rPr>
                <w:rFonts w:hint="eastAsia" w:ascii="仿宋" w:hAnsi="仿宋" w:eastAsia="仿宋" w:cs="仿宋"/>
                <w:i w:val="0"/>
                <w:iCs w:val="0"/>
                <w:caps w:val="0"/>
                <w:color w:val="000000"/>
                <w:spacing w:val="0"/>
                <w:kern w:val="0"/>
                <w:sz w:val="24"/>
                <w:szCs w:val="24"/>
                <w:lang w:val="en-US" w:eastAsia="zh-CN" w:bidi="ar"/>
              </w:rPr>
              <w:t>；未被消防部门处罚过（提供承诺函）。</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7.单位负责人为同一人或者存在直接控股、管理关系的不同供应商，不得同时参加本项目（提供声明函）。</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8.本项目不接受联合体投标（提供声明函）。</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9.承诺中标后与招标人签订廉政协议（提供承诺函）。</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（具体要求详见附件2）</w:t>
            </w:r>
            <w:r>
              <w:rPr>
                <w:rFonts w:hint="eastAsia" w:ascii="楷体_GB2312" w:hAnsi="楷体_GB2312" w:eastAsia="楷体_GB2312" w:cs="楷体_GB2312"/>
                <w:sz w:val="24"/>
                <w:szCs w:val="24"/>
                <w:lang w:val="en-US" w:eastAsia="zh-CN"/>
              </w:rPr>
              <w:t>。</w:t>
            </w:r>
            <w:r>
              <w:rPr>
                <w:rFonts w:hint="default" w:ascii="楷体_GB2312" w:hAnsi="楷体_GB2312" w:eastAsia="楷体_GB2312" w:cs="楷体_GB2312"/>
                <w:sz w:val="24"/>
                <w:szCs w:val="24"/>
                <w:lang w:val="en-US" w:eastAsia="zh-CN"/>
              </w:rPr>
              <w:t>。</w:t>
            </w:r>
          </w:p>
          <w:p w14:paraId="06C228EC">
            <w:pPr>
              <w:widowControl/>
              <w:numPr>
                <w:ilvl w:val="0"/>
                <w:numId w:val="0"/>
              </w:numPr>
              <w:snapToGrid w:val="0"/>
              <w:ind w:firstLine="240" w:firstLineChars="100"/>
              <w:rPr>
                <w:rFonts w:hint="default" w:ascii="仿宋_GB2312" w:hAnsi="仿宋_GB2312" w:cs="仿宋_GB2312" w:eastAsiaTheme="minorEastAsia"/>
                <w:sz w:val="24"/>
                <w:szCs w:val="24"/>
                <w:lang w:val="en-US" w:eastAsia="zh-CN"/>
              </w:rPr>
            </w:pPr>
            <w:r>
              <w:rPr>
                <w:rFonts w:hint="eastAsia" w:ascii="黑体" w:hAnsi="黑体" w:eastAsia="黑体" w:cs="黑体"/>
                <w:sz w:val="24"/>
                <w:szCs w:val="24"/>
                <w:lang w:val="en-US" w:eastAsia="zh-CN"/>
              </w:rPr>
              <w:t>以上要求详见附件2，并按附件2格式，详细资料需一并报送。</w:t>
            </w:r>
          </w:p>
        </w:tc>
      </w:tr>
      <w:tr w14:paraId="637965D0">
        <w:tblPrEx>
          <w:tblCellMar>
            <w:top w:w="0" w:type="dxa"/>
            <w:left w:w="108" w:type="dxa"/>
            <w:bottom w:w="0" w:type="dxa"/>
            <w:right w:w="108" w:type="dxa"/>
          </w:tblCellMar>
        </w:tblPrEx>
        <w:trPr>
          <w:trHeight w:val="0" w:hRule="atLeast"/>
          <w:jc w:val="center"/>
        </w:trPr>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6649CF">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586" w:type="pct"/>
            <w:tcBorders>
              <w:top w:val="single" w:color="auto" w:sz="4" w:space="0"/>
              <w:left w:val="nil"/>
              <w:bottom w:val="single" w:color="auto" w:sz="4" w:space="0"/>
              <w:right w:val="single" w:color="auto" w:sz="4" w:space="0"/>
            </w:tcBorders>
            <w:shd w:val="clear" w:color="auto" w:fill="auto"/>
            <w:vAlign w:val="center"/>
          </w:tcPr>
          <w:p w14:paraId="552A59B2">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要求</w:t>
            </w:r>
          </w:p>
        </w:tc>
        <w:tc>
          <w:tcPr>
            <w:tcW w:w="4077" w:type="pct"/>
            <w:gridSpan w:val="6"/>
            <w:tcBorders>
              <w:top w:val="single" w:color="auto" w:sz="4" w:space="0"/>
              <w:left w:val="nil"/>
              <w:bottom w:val="single" w:color="auto" w:sz="4" w:space="0"/>
              <w:right w:val="single" w:color="auto" w:sz="4" w:space="0"/>
            </w:tcBorders>
            <w:shd w:val="clear" w:color="auto" w:fill="auto"/>
            <w:vAlign w:val="center"/>
          </w:tcPr>
          <w:p w14:paraId="3E4B091B">
            <w:pPr>
              <w:widowControl/>
              <w:numPr>
                <w:ilvl w:val="0"/>
                <w:numId w:val="0"/>
              </w:numPr>
              <w:snapToGrid w:val="0"/>
              <w:ind w:leftChars="0"/>
              <w:rPr>
                <w:rFonts w:hint="default" w:ascii="仿宋" w:hAnsi="仿宋" w:eastAsia="仿宋" w:cs="仿宋"/>
                <w:i w:val="0"/>
                <w:iCs w:val="0"/>
                <w:caps w:val="0"/>
                <w:color w:val="000000"/>
                <w:spacing w:val="0"/>
                <w:kern w:val="0"/>
                <w:sz w:val="24"/>
                <w:szCs w:val="24"/>
                <w:lang w:val="en-US" w:eastAsia="zh-CN" w:bidi="ar"/>
              </w:rPr>
            </w:pPr>
            <w:r>
              <w:rPr>
                <w:rFonts w:hint="default" w:ascii="仿宋" w:hAnsi="仿宋" w:eastAsia="仿宋" w:cs="仿宋"/>
                <w:i w:val="0"/>
                <w:iCs w:val="0"/>
                <w:caps w:val="0"/>
                <w:color w:val="000000"/>
                <w:spacing w:val="0"/>
                <w:kern w:val="0"/>
                <w:sz w:val="24"/>
                <w:szCs w:val="24"/>
                <w:lang w:val="en-US" w:eastAsia="zh-CN" w:bidi="ar"/>
              </w:rPr>
              <w:t>1. 招标控制价（上限价）：人民币 49367 元（大写：肆万玖仟叁佰陆拾柒元整）。总报价超出上限价为无效报价。</w:t>
            </w:r>
          </w:p>
          <w:p w14:paraId="23578CFA">
            <w:pPr>
              <w:widowControl/>
              <w:numPr>
                <w:ilvl w:val="0"/>
                <w:numId w:val="0"/>
              </w:numPr>
              <w:snapToGrid w:val="0"/>
              <w:ind w:leftChars="0"/>
              <w:rPr>
                <w:rFonts w:hint="default" w:ascii="仿宋" w:hAnsi="仿宋" w:eastAsia="仿宋" w:cs="仿宋"/>
                <w:i w:val="0"/>
                <w:iCs w:val="0"/>
                <w:caps w:val="0"/>
                <w:color w:val="000000"/>
                <w:spacing w:val="0"/>
                <w:kern w:val="0"/>
                <w:sz w:val="24"/>
                <w:szCs w:val="24"/>
                <w:lang w:val="en-US" w:eastAsia="zh-CN" w:bidi="ar"/>
              </w:rPr>
            </w:pPr>
            <w:r>
              <w:rPr>
                <w:rFonts w:hint="default" w:ascii="仿宋" w:hAnsi="仿宋" w:eastAsia="仿宋" w:cs="仿宋"/>
                <w:i w:val="0"/>
                <w:iCs w:val="0"/>
                <w:caps w:val="0"/>
                <w:color w:val="000000"/>
                <w:spacing w:val="0"/>
                <w:kern w:val="0"/>
                <w:sz w:val="24"/>
                <w:szCs w:val="24"/>
                <w:lang w:val="en-US" w:eastAsia="zh-CN" w:bidi="ar"/>
              </w:rPr>
              <w:t>2. 报价为总价包干，包含完成三项核心评估服务所需的人工费、差旅费、报告编制费、税金、管理费、印刷费等所有费用。</w:t>
            </w:r>
          </w:p>
          <w:p w14:paraId="6FE8C090">
            <w:pPr>
              <w:widowControl/>
              <w:numPr>
                <w:ilvl w:val="0"/>
                <w:numId w:val="0"/>
              </w:numPr>
              <w:snapToGrid w:val="0"/>
              <w:ind w:leftChars="0"/>
              <w:rPr>
                <w:rFonts w:hint="default" w:ascii="仿宋" w:hAnsi="仿宋" w:eastAsia="仿宋" w:cs="仿宋"/>
                <w:i w:val="0"/>
                <w:iCs w:val="0"/>
                <w:caps w:val="0"/>
                <w:color w:val="000000"/>
                <w:spacing w:val="0"/>
                <w:kern w:val="0"/>
                <w:sz w:val="24"/>
                <w:szCs w:val="24"/>
                <w:lang w:val="en-US" w:eastAsia="zh-CN" w:bidi="ar"/>
              </w:rPr>
            </w:pPr>
            <w:r>
              <w:rPr>
                <w:rFonts w:hint="default" w:ascii="仿宋" w:hAnsi="仿宋" w:eastAsia="仿宋" w:cs="仿宋"/>
                <w:i w:val="0"/>
                <w:iCs w:val="0"/>
                <w:caps w:val="0"/>
                <w:color w:val="000000"/>
                <w:spacing w:val="0"/>
                <w:kern w:val="0"/>
                <w:sz w:val="24"/>
                <w:szCs w:val="24"/>
                <w:lang w:val="en-US" w:eastAsia="zh-CN" w:bidi="ar"/>
              </w:rPr>
              <w:t>3. 成交原则：在满足资格要求且报价不高于上限价的前提下，按报价由低到高排序，推荐最低价的供应商为成交候选人。若出现最低报价相同的情况，根据供应商的服务方案、同类业绩、人员配备及应急响应能力等因素综合确定。</w:t>
            </w:r>
          </w:p>
          <w:p w14:paraId="65A6419E">
            <w:pPr>
              <w:widowControl/>
              <w:numPr>
                <w:ilvl w:val="0"/>
                <w:numId w:val="0"/>
              </w:numPr>
              <w:snapToGrid w:val="0"/>
              <w:ind w:leftChars="0"/>
              <w:rPr>
                <w:rFonts w:hint="default" w:ascii="仿宋" w:hAnsi="仿宋" w:eastAsia="仿宋" w:cs="仿宋"/>
                <w:i w:val="0"/>
                <w:iCs w:val="0"/>
                <w:caps w:val="0"/>
                <w:color w:val="000000"/>
                <w:spacing w:val="0"/>
                <w:kern w:val="0"/>
                <w:sz w:val="24"/>
                <w:szCs w:val="24"/>
                <w:lang w:val="en-US" w:eastAsia="zh-CN" w:bidi="ar"/>
              </w:rPr>
            </w:pPr>
            <w:r>
              <w:rPr>
                <w:rFonts w:hint="default" w:ascii="仿宋" w:hAnsi="仿宋" w:eastAsia="仿宋" w:cs="仿宋"/>
                <w:i w:val="0"/>
                <w:iCs w:val="0"/>
                <w:caps w:val="0"/>
                <w:color w:val="000000"/>
                <w:spacing w:val="0"/>
                <w:kern w:val="0"/>
                <w:sz w:val="24"/>
                <w:szCs w:val="24"/>
                <w:lang w:val="en-US" w:eastAsia="zh-CN" w:bidi="ar"/>
              </w:rPr>
              <w:t>4. 报价金额须保留两位小数（例如：46800.00元）。</w:t>
            </w:r>
          </w:p>
        </w:tc>
      </w:tr>
      <w:tr w14:paraId="3592B9EB">
        <w:tblPrEx>
          <w:tblCellMar>
            <w:top w:w="0" w:type="dxa"/>
            <w:left w:w="108" w:type="dxa"/>
            <w:bottom w:w="0" w:type="dxa"/>
            <w:right w:w="108" w:type="dxa"/>
          </w:tblCellMar>
        </w:tblPrEx>
        <w:trPr>
          <w:trHeight w:val="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13D640D7">
            <w:pPr>
              <w:widowControl/>
              <w:snapToGrid w:val="0"/>
              <w:jc w:val="left"/>
              <w:rPr>
                <w:rFonts w:ascii="宋体" w:hAnsi="宋体" w:eastAsia="宋体" w:cs="宋体"/>
                <w:color w:val="000000"/>
                <w:kern w:val="0"/>
                <w:sz w:val="24"/>
                <w:szCs w:val="24"/>
              </w:rPr>
            </w:pPr>
          </w:p>
        </w:tc>
        <w:tc>
          <w:tcPr>
            <w:tcW w:w="586" w:type="pct"/>
            <w:vMerge w:val="restart"/>
            <w:tcBorders>
              <w:top w:val="nil"/>
              <w:left w:val="nil"/>
              <w:right w:val="single" w:color="auto" w:sz="4" w:space="0"/>
            </w:tcBorders>
            <w:shd w:val="clear" w:color="auto" w:fill="auto"/>
            <w:vAlign w:val="center"/>
          </w:tcPr>
          <w:p w14:paraId="2EB845A4">
            <w:pPr>
              <w:widowControl/>
              <w:snapToGrid w:val="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报价</w:t>
            </w:r>
          </w:p>
        </w:tc>
        <w:tc>
          <w:tcPr>
            <w:tcW w:w="988" w:type="pct"/>
            <w:gridSpan w:val="2"/>
            <w:tcBorders>
              <w:top w:val="single" w:color="auto" w:sz="4" w:space="0"/>
              <w:left w:val="nil"/>
              <w:bottom w:val="single" w:color="auto" w:sz="4" w:space="0"/>
              <w:right w:val="single" w:color="auto" w:sz="4" w:space="0"/>
            </w:tcBorders>
            <w:shd w:val="clear" w:color="auto" w:fill="auto"/>
            <w:vAlign w:val="center"/>
          </w:tcPr>
          <w:p w14:paraId="73E5BBF2">
            <w:pPr>
              <w:widowControl/>
              <w:snapToGrid w:val="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招标控制价（元）</w:t>
            </w:r>
          </w:p>
        </w:tc>
        <w:tc>
          <w:tcPr>
            <w:tcW w:w="130" w:type="pct"/>
            <w:gridSpan w:val="2"/>
            <w:tcBorders>
              <w:top w:val="single" w:color="auto" w:sz="4" w:space="0"/>
              <w:left w:val="nil"/>
              <w:bottom w:val="single" w:color="auto" w:sz="4" w:space="0"/>
              <w:right w:val="single" w:color="auto" w:sz="4" w:space="0"/>
            </w:tcBorders>
            <w:shd w:val="clear" w:color="auto" w:fill="auto"/>
            <w:vAlign w:val="center"/>
          </w:tcPr>
          <w:p w14:paraId="0528666C">
            <w:pPr>
              <w:widowControl/>
              <w:snapToGrid w:val="0"/>
              <w:jc w:val="center"/>
              <w:rPr>
                <w:rFonts w:hint="default" w:ascii="宋体" w:hAnsi="宋体" w:eastAsia="宋体" w:cs="宋体"/>
                <w:color w:val="000000"/>
                <w:kern w:val="0"/>
                <w:sz w:val="24"/>
                <w:szCs w:val="24"/>
                <w:lang w:val="en-US" w:eastAsia="zh-CN" w:bidi="ar-SA"/>
              </w:rPr>
            </w:pPr>
          </w:p>
        </w:tc>
        <w:tc>
          <w:tcPr>
            <w:tcW w:w="2465" w:type="pct"/>
            <w:tcBorders>
              <w:top w:val="single" w:color="auto" w:sz="4" w:space="0"/>
              <w:left w:val="nil"/>
              <w:bottom w:val="single" w:color="auto" w:sz="4" w:space="0"/>
              <w:right w:val="single" w:color="auto" w:sz="4" w:space="0"/>
            </w:tcBorders>
            <w:shd w:val="clear" w:color="auto" w:fill="auto"/>
            <w:vAlign w:val="center"/>
          </w:tcPr>
          <w:p w14:paraId="3109B2DB">
            <w:pPr>
              <w:widowControl/>
              <w:snapToGrid w:val="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报价单价</w:t>
            </w:r>
          </w:p>
          <w:p w14:paraId="0B8DF88C">
            <w:pPr>
              <w:widowControl/>
              <w:snapToGrid w:val="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（元）</w:t>
            </w:r>
          </w:p>
        </w:tc>
        <w:tc>
          <w:tcPr>
            <w:tcW w:w="492" w:type="pct"/>
            <w:tcBorders>
              <w:top w:val="single" w:color="auto" w:sz="4" w:space="0"/>
              <w:left w:val="nil"/>
              <w:bottom w:val="single" w:color="auto" w:sz="4" w:space="0"/>
              <w:right w:val="single" w:color="auto" w:sz="4" w:space="0"/>
            </w:tcBorders>
            <w:shd w:val="clear" w:color="auto" w:fill="auto"/>
            <w:vAlign w:val="center"/>
          </w:tcPr>
          <w:p w14:paraId="32ABE42A">
            <w:pPr>
              <w:widowControl/>
              <w:snapToGrid w:val="0"/>
              <w:jc w:val="center"/>
              <w:rPr>
                <w:rFonts w:hint="default" w:ascii="宋体" w:hAnsi="宋体" w:eastAsia="宋体" w:cs="宋体"/>
                <w:color w:val="000000"/>
                <w:kern w:val="0"/>
                <w:sz w:val="24"/>
                <w:szCs w:val="24"/>
                <w:lang w:val="en-US" w:eastAsia="zh-CN"/>
              </w:rPr>
            </w:pPr>
          </w:p>
        </w:tc>
      </w:tr>
      <w:tr w14:paraId="06D27BCC">
        <w:tblPrEx>
          <w:tblCellMar>
            <w:top w:w="0" w:type="dxa"/>
            <w:left w:w="108" w:type="dxa"/>
            <w:bottom w:w="0" w:type="dxa"/>
            <w:right w:w="108" w:type="dxa"/>
          </w:tblCellMar>
        </w:tblPrEx>
        <w:trPr>
          <w:trHeight w:val="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70CA634F">
            <w:pPr>
              <w:widowControl/>
              <w:snapToGrid w:val="0"/>
              <w:jc w:val="left"/>
              <w:rPr>
                <w:rFonts w:ascii="宋体" w:hAnsi="宋体" w:eastAsia="宋体" w:cs="宋体"/>
                <w:color w:val="000000"/>
                <w:kern w:val="0"/>
                <w:sz w:val="24"/>
                <w:szCs w:val="24"/>
              </w:rPr>
            </w:pPr>
          </w:p>
        </w:tc>
        <w:tc>
          <w:tcPr>
            <w:tcW w:w="586" w:type="pct"/>
            <w:vMerge w:val="continue"/>
            <w:tcBorders>
              <w:left w:val="nil"/>
              <w:bottom w:val="single" w:color="auto" w:sz="4" w:space="0"/>
              <w:right w:val="single" w:color="auto" w:sz="4" w:space="0"/>
            </w:tcBorders>
            <w:shd w:val="clear" w:color="auto" w:fill="auto"/>
            <w:vAlign w:val="center"/>
          </w:tcPr>
          <w:p w14:paraId="1D823E9E">
            <w:pPr>
              <w:widowControl/>
              <w:snapToGrid w:val="0"/>
              <w:jc w:val="center"/>
              <w:rPr>
                <w:rFonts w:ascii="宋体" w:hAnsi="宋体" w:eastAsia="宋体" w:cs="宋体"/>
                <w:color w:val="000000"/>
                <w:kern w:val="0"/>
                <w:sz w:val="24"/>
                <w:szCs w:val="24"/>
              </w:rPr>
            </w:pPr>
          </w:p>
        </w:tc>
        <w:tc>
          <w:tcPr>
            <w:tcW w:w="988" w:type="pct"/>
            <w:gridSpan w:val="2"/>
            <w:tcBorders>
              <w:top w:val="single" w:color="auto" w:sz="4" w:space="0"/>
              <w:left w:val="nil"/>
              <w:bottom w:val="single" w:color="auto" w:sz="4" w:space="0"/>
              <w:right w:val="single" w:color="auto" w:sz="4" w:space="0"/>
            </w:tcBorders>
            <w:shd w:val="clear" w:color="auto" w:fill="auto"/>
            <w:vAlign w:val="top"/>
          </w:tcPr>
          <w:p w14:paraId="28A8E3F4">
            <w:pPr>
              <w:keepNext/>
              <w:keepLines w:val="0"/>
              <w:widowControl/>
              <w:suppressLineNumbers w:val="0"/>
              <w:snapToGrid w:val="0"/>
              <w:spacing w:before="0" w:beforeAutospacing="0" w:after="72" w:afterAutospacing="0"/>
              <w:ind w:left="0" w:leftChars="0" w:right="0" w:rightChars="0"/>
              <w:jc w:val="center"/>
              <w:textAlignment w:val="top"/>
              <w:rPr>
                <w:rFonts w:hint="default" w:ascii="宋体" w:hAnsi="宋体" w:eastAsia="宋体" w:cs="宋体"/>
                <w:color w:val="000000"/>
                <w:kern w:val="0"/>
                <w:sz w:val="24"/>
                <w:szCs w:val="24"/>
                <w:lang w:val="en-US" w:eastAsia="zh-CN"/>
              </w:rPr>
            </w:pPr>
            <w:r>
              <w:rPr>
                <w:rFonts w:hint="default" w:ascii="仿宋" w:hAnsi="仿宋" w:eastAsia="仿宋" w:cs="仿宋"/>
                <w:i w:val="0"/>
                <w:iCs w:val="0"/>
                <w:caps w:val="0"/>
                <w:color w:val="000000"/>
                <w:spacing w:val="0"/>
                <w:kern w:val="0"/>
                <w:sz w:val="24"/>
                <w:szCs w:val="24"/>
                <w:lang w:val="en-US" w:eastAsia="zh-CN" w:bidi="ar"/>
              </w:rPr>
              <w:t xml:space="preserve">49367 </w:t>
            </w:r>
          </w:p>
        </w:tc>
        <w:tc>
          <w:tcPr>
            <w:tcW w:w="130" w:type="pct"/>
            <w:gridSpan w:val="2"/>
            <w:tcBorders>
              <w:top w:val="single" w:color="auto" w:sz="4" w:space="0"/>
              <w:left w:val="nil"/>
              <w:bottom w:val="single" w:color="auto" w:sz="4" w:space="0"/>
              <w:right w:val="single" w:color="auto" w:sz="4" w:space="0"/>
            </w:tcBorders>
            <w:shd w:val="clear" w:color="auto" w:fill="auto"/>
            <w:vAlign w:val="top"/>
          </w:tcPr>
          <w:p w14:paraId="07838447">
            <w:pPr>
              <w:keepNext/>
              <w:keepLines w:val="0"/>
              <w:widowControl/>
              <w:suppressLineNumbers w:val="0"/>
              <w:snapToGrid w:val="0"/>
              <w:spacing w:before="0" w:beforeAutospacing="0" w:after="72" w:afterAutospacing="0"/>
              <w:ind w:left="0" w:leftChars="0" w:right="0" w:rightChars="0"/>
              <w:jc w:val="center"/>
              <w:textAlignment w:val="top"/>
              <w:rPr>
                <w:rFonts w:hint="eastAsia" w:ascii="宋体" w:hAnsi="宋体" w:eastAsia="宋体" w:cs="宋体"/>
                <w:color w:val="000000"/>
                <w:kern w:val="0"/>
                <w:sz w:val="24"/>
                <w:szCs w:val="24"/>
                <w:lang w:val="en-US" w:eastAsia="zh-CN" w:bidi="ar-SA"/>
              </w:rPr>
            </w:pPr>
          </w:p>
        </w:tc>
        <w:tc>
          <w:tcPr>
            <w:tcW w:w="2465" w:type="pct"/>
            <w:tcBorders>
              <w:top w:val="single" w:color="auto" w:sz="4" w:space="0"/>
              <w:left w:val="nil"/>
              <w:bottom w:val="single" w:color="auto" w:sz="4" w:space="0"/>
              <w:right w:val="single" w:color="auto" w:sz="4" w:space="0"/>
            </w:tcBorders>
            <w:shd w:val="clear" w:color="auto" w:fill="auto"/>
            <w:vAlign w:val="center"/>
          </w:tcPr>
          <w:p w14:paraId="0B63D4FE">
            <w:pPr>
              <w:widowControl/>
              <w:snapToGrid w:val="0"/>
              <w:jc w:val="center"/>
              <w:rPr>
                <w:rFonts w:hint="eastAsia" w:ascii="宋体" w:hAnsi="宋体" w:eastAsia="宋体" w:cs="宋体"/>
                <w:color w:val="000000"/>
                <w:kern w:val="0"/>
                <w:sz w:val="24"/>
                <w:szCs w:val="24"/>
              </w:rPr>
            </w:pPr>
          </w:p>
        </w:tc>
        <w:tc>
          <w:tcPr>
            <w:tcW w:w="492" w:type="pct"/>
            <w:tcBorders>
              <w:top w:val="single" w:color="auto" w:sz="4" w:space="0"/>
              <w:left w:val="nil"/>
              <w:bottom w:val="single" w:color="auto" w:sz="4" w:space="0"/>
              <w:right w:val="single" w:color="auto" w:sz="4" w:space="0"/>
            </w:tcBorders>
            <w:shd w:val="clear" w:color="auto" w:fill="auto"/>
            <w:vAlign w:val="center"/>
          </w:tcPr>
          <w:p w14:paraId="583E297D">
            <w:pPr>
              <w:widowControl/>
              <w:snapToGrid w:val="0"/>
              <w:jc w:val="center"/>
              <w:rPr>
                <w:rFonts w:hint="eastAsia" w:ascii="宋体" w:hAnsi="宋体" w:eastAsia="宋体" w:cs="宋体"/>
                <w:color w:val="000000"/>
                <w:kern w:val="0"/>
                <w:sz w:val="24"/>
                <w:szCs w:val="24"/>
              </w:rPr>
            </w:pPr>
          </w:p>
        </w:tc>
      </w:tr>
      <w:tr w14:paraId="2C7ED4D0">
        <w:tblPrEx>
          <w:tblCellMar>
            <w:top w:w="0" w:type="dxa"/>
            <w:left w:w="108" w:type="dxa"/>
            <w:bottom w:w="0" w:type="dxa"/>
            <w:right w:w="108" w:type="dxa"/>
          </w:tblCellMar>
        </w:tblPrEx>
        <w:trPr>
          <w:trHeight w:val="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494B1103">
            <w:pPr>
              <w:widowControl/>
              <w:snapToGrid w:val="0"/>
              <w:jc w:val="left"/>
              <w:rPr>
                <w:rFonts w:ascii="宋体" w:hAnsi="宋体" w:eastAsia="宋体" w:cs="宋体"/>
                <w:color w:val="000000"/>
                <w:kern w:val="0"/>
                <w:sz w:val="24"/>
                <w:szCs w:val="24"/>
              </w:rPr>
            </w:pPr>
          </w:p>
        </w:tc>
        <w:tc>
          <w:tcPr>
            <w:tcW w:w="586" w:type="pct"/>
            <w:tcBorders>
              <w:top w:val="nil"/>
              <w:left w:val="nil"/>
              <w:bottom w:val="single" w:color="auto" w:sz="4" w:space="0"/>
              <w:right w:val="single" w:color="auto" w:sz="4" w:space="0"/>
            </w:tcBorders>
            <w:shd w:val="clear" w:color="auto" w:fill="auto"/>
            <w:vAlign w:val="center"/>
          </w:tcPr>
          <w:p w14:paraId="5FD88637">
            <w:pPr>
              <w:widowControl/>
              <w:snapToGrid w:val="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金额</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大写</w:t>
            </w:r>
            <w:r>
              <w:rPr>
                <w:rFonts w:hint="eastAsia" w:ascii="宋体" w:hAnsi="宋体" w:eastAsia="宋体" w:cs="宋体"/>
                <w:color w:val="000000"/>
                <w:kern w:val="0"/>
                <w:sz w:val="24"/>
                <w:szCs w:val="24"/>
                <w:lang w:eastAsia="zh-CN"/>
              </w:rPr>
              <w:t>）</w:t>
            </w:r>
          </w:p>
        </w:tc>
        <w:tc>
          <w:tcPr>
            <w:tcW w:w="4077" w:type="pct"/>
            <w:gridSpan w:val="6"/>
            <w:tcBorders>
              <w:top w:val="single" w:color="auto" w:sz="4" w:space="0"/>
              <w:left w:val="nil"/>
              <w:bottom w:val="single" w:color="auto" w:sz="4" w:space="0"/>
              <w:right w:val="single" w:color="auto" w:sz="4" w:space="0"/>
            </w:tcBorders>
            <w:shd w:val="clear" w:color="auto" w:fill="auto"/>
            <w:vAlign w:val="center"/>
          </w:tcPr>
          <w:p w14:paraId="10A1DBED">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4F969D2">
        <w:tblPrEx>
          <w:tblCellMar>
            <w:top w:w="0" w:type="dxa"/>
            <w:left w:w="108" w:type="dxa"/>
            <w:bottom w:w="0" w:type="dxa"/>
            <w:right w:w="108" w:type="dxa"/>
          </w:tblCellMar>
        </w:tblPrEx>
        <w:trPr>
          <w:trHeight w:val="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18B6EE81">
            <w:pPr>
              <w:widowControl/>
              <w:snapToGrid w:val="0"/>
              <w:jc w:val="left"/>
              <w:rPr>
                <w:rFonts w:ascii="宋体" w:hAnsi="宋体" w:eastAsia="宋体" w:cs="宋体"/>
                <w:color w:val="000000"/>
                <w:kern w:val="0"/>
                <w:sz w:val="24"/>
                <w:szCs w:val="24"/>
              </w:rPr>
            </w:pPr>
          </w:p>
        </w:tc>
        <w:tc>
          <w:tcPr>
            <w:tcW w:w="586" w:type="pct"/>
            <w:tcBorders>
              <w:top w:val="nil"/>
              <w:left w:val="nil"/>
              <w:bottom w:val="single" w:color="auto" w:sz="4" w:space="0"/>
              <w:right w:val="single" w:color="auto" w:sz="4" w:space="0"/>
            </w:tcBorders>
            <w:shd w:val="clear" w:color="auto" w:fill="auto"/>
            <w:vAlign w:val="center"/>
          </w:tcPr>
          <w:p w14:paraId="3CE89485">
            <w:pPr>
              <w:widowControl/>
              <w:snapToGrid w:val="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报价有效期</w:t>
            </w:r>
          </w:p>
        </w:tc>
        <w:tc>
          <w:tcPr>
            <w:tcW w:w="4077" w:type="pct"/>
            <w:gridSpan w:val="6"/>
            <w:tcBorders>
              <w:top w:val="single" w:color="auto" w:sz="4" w:space="0"/>
              <w:left w:val="nil"/>
              <w:bottom w:val="single" w:color="auto" w:sz="4" w:space="0"/>
              <w:right w:val="single" w:color="auto" w:sz="4" w:space="0"/>
            </w:tcBorders>
            <w:shd w:val="clear" w:color="auto" w:fill="auto"/>
            <w:vAlign w:val="center"/>
          </w:tcPr>
          <w:p w14:paraId="41967AFF">
            <w:pPr>
              <w:widowControl/>
              <w:snapToGrid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止。</w:t>
            </w:r>
          </w:p>
        </w:tc>
      </w:tr>
      <w:tr w14:paraId="0784554D">
        <w:tblPrEx>
          <w:tblCellMar>
            <w:top w:w="0" w:type="dxa"/>
            <w:left w:w="108" w:type="dxa"/>
            <w:bottom w:w="0" w:type="dxa"/>
            <w:right w:w="108" w:type="dxa"/>
          </w:tblCellMar>
        </w:tblPrEx>
        <w:trPr>
          <w:trHeight w:val="0"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F5D6752">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报价联</w:t>
            </w:r>
          </w:p>
          <w:p w14:paraId="2D5179F3">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系人</w:t>
            </w:r>
          </w:p>
        </w:tc>
        <w:tc>
          <w:tcPr>
            <w:tcW w:w="586" w:type="pct"/>
            <w:tcBorders>
              <w:top w:val="single" w:color="auto" w:sz="4" w:space="0"/>
              <w:left w:val="nil"/>
              <w:bottom w:val="single" w:color="auto" w:sz="4" w:space="0"/>
              <w:right w:val="single" w:color="auto" w:sz="4" w:space="0"/>
            </w:tcBorders>
            <w:shd w:val="clear" w:color="auto" w:fill="auto"/>
            <w:vAlign w:val="center"/>
          </w:tcPr>
          <w:p w14:paraId="29C02BDB">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53" w:type="pct"/>
            <w:gridSpan w:val="3"/>
            <w:tcBorders>
              <w:top w:val="nil"/>
              <w:left w:val="nil"/>
              <w:bottom w:val="single" w:color="auto" w:sz="4" w:space="0"/>
              <w:right w:val="single" w:color="auto" w:sz="4" w:space="0"/>
            </w:tcBorders>
            <w:shd w:val="clear" w:color="auto" w:fill="auto"/>
            <w:vAlign w:val="center"/>
          </w:tcPr>
          <w:p w14:paraId="4C5F3C76">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3023" w:type="pct"/>
            <w:gridSpan w:val="3"/>
            <w:tcBorders>
              <w:top w:val="single" w:color="auto" w:sz="4" w:space="0"/>
              <w:left w:val="nil"/>
              <w:bottom w:val="single" w:color="auto" w:sz="4" w:space="0"/>
              <w:right w:val="single" w:color="auto" w:sz="4" w:space="0"/>
            </w:tcBorders>
            <w:shd w:val="clear" w:color="auto" w:fill="auto"/>
            <w:vAlign w:val="center"/>
          </w:tcPr>
          <w:p w14:paraId="7C9F54C7">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1A140D2">
        <w:tblPrEx>
          <w:tblCellMar>
            <w:top w:w="0" w:type="dxa"/>
            <w:left w:w="108" w:type="dxa"/>
            <w:bottom w:w="0" w:type="dxa"/>
            <w:right w:w="108" w:type="dxa"/>
          </w:tblCellMar>
        </w:tblPrEx>
        <w:trPr>
          <w:trHeight w:val="0" w:hRule="atLeast"/>
          <w:jc w:val="center"/>
        </w:trPr>
        <w:tc>
          <w:tcPr>
            <w:tcW w:w="922" w:type="pct"/>
            <w:gridSpan w:val="2"/>
            <w:tcBorders>
              <w:top w:val="nil"/>
              <w:left w:val="single" w:color="auto" w:sz="4" w:space="0"/>
              <w:bottom w:val="single" w:color="auto" w:sz="4" w:space="0"/>
              <w:right w:val="single" w:color="auto" w:sz="4" w:space="0"/>
            </w:tcBorders>
            <w:shd w:val="clear" w:color="auto" w:fill="auto"/>
            <w:vAlign w:val="center"/>
          </w:tcPr>
          <w:p w14:paraId="330924AE">
            <w:pPr>
              <w:widowControl/>
              <w:snapToGrid w:val="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报价单位</w:t>
            </w:r>
          </w:p>
        </w:tc>
        <w:tc>
          <w:tcPr>
            <w:tcW w:w="4077" w:type="pct"/>
            <w:gridSpan w:val="6"/>
            <w:tcBorders>
              <w:top w:val="nil"/>
              <w:left w:val="nil"/>
              <w:bottom w:val="single" w:color="auto" w:sz="4" w:space="0"/>
              <w:right w:val="single" w:color="auto" w:sz="4" w:space="0"/>
            </w:tcBorders>
            <w:shd w:val="clear" w:color="auto" w:fill="auto"/>
            <w:vAlign w:val="center"/>
          </w:tcPr>
          <w:p w14:paraId="30A27922">
            <w:pPr>
              <w:widowControl/>
              <w:snapToGrid w:val="0"/>
              <w:jc w:val="center"/>
              <w:rPr>
                <w:rFonts w:hint="eastAsia" w:ascii="宋体" w:hAnsi="宋体" w:eastAsia="宋体" w:cs="宋体"/>
                <w:color w:val="000000"/>
                <w:kern w:val="0"/>
                <w:sz w:val="24"/>
                <w:szCs w:val="24"/>
              </w:rPr>
            </w:pPr>
          </w:p>
        </w:tc>
      </w:tr>
      <w:tr w14:paraId="1A752845">
        <w:tblPrEx>
          <w:tblCellMar>
            <w:top w:w="0" w:type="dxa"/>
            <w:left w:w="108" w:type="dxa"/>
            <w:bottom w:w="0" w:type="dxa"/>
            <w:right w:w="108" w:type="dxa"/>
          </w:tblCellMar>
        </w:tblPrEx>
        <w:trPr>
          <w:trHeight w:val="0" w:hRule="atLeast"/>
          <w:jc w:val="center"/>
        </w:trPr>
        <w:tc>
          <w:tcPr>
            <w:tcW w:w="336" w:type="pct"/>
            <w:shd w:val="clear" w:color="auto" w:fill="auto"/>
            <w:vAlign w:val="center"/>
          </w:tcPr>
          <w:p w14:paraId="5B45E311">
            <w:pPr>
              <w:widowControl/>
              <w:snapToGrid w:val="0"/>
              <w:jc w:val="left"/>
              <w:rPr>
                <w:rFonts w:ascii="Times New Roman" w:hAnsi="Times New Roman" w:eastAsia="Times New Roman" w:cs="Times New Roman"/>
                <w:kern w:val="0"/>
                <w:sz w:val="24"/>
                <w:szCs w:val="24"/>
              </w:rPr>
            </w:pPr>
          </w:p>
        </w:tc>
        <w:tc>
          <w:tcPr>
            <w:tcW w:w="586" w:type="pct"/>
            <w:shd w:val="clear" w:color="auto" w:fill="auto"/>
            <w:vAlign w:val="center"/>
          </w:tcPr>
          <w:p w14:paraId="0FF57B36">
            <w:pPr>
              <w:widowControl/>
              <w:snapToGrid w:val="0"/>
              <w:jc w:val="left"/>
              <w:rPr>
                <w:rFonts w:ascii="Times New Roman" w:hAnsi="Times New Roman" w:eastAsia="Times New Roman" w:cs="Times New Roman"/>
                <w:kern w:val="0"/>
                <w:sz w:val="24"/>
                <w:szCs w:val="24"/>
              </w:rPr>
            </w:pPr>
          </w:p>
        </w:tc>
        <w:tc>
          <w:tcPr>
            <w:tcW w:w="495" w:type="pct"/>
            <w:shd w:val="clear" w:color="auto" w:fill="auto"/>
            <w:vAlign w:val="center"/>
          </w:tcPr>
          <w:p w14:paraId="57848AE0">
            <w:pPr>
              <w:widowControl/>
              <w:snapToGrid w:val="0"/>
              <w:jc w:val="left"/>
              <w:rPr>
                <w:rFonts w:ascii="Times New Roman" w:hAnsi="Times New Roman" w:eastAsia="Times New Roman" w:cs="Times New Roman"/>
                <w:kern w:val="0"/>
                <w:sz w:val="24"/>
                <w:szCs w:val="24"/>
              </w:rPr>
            </w:pPr>
          </w:p>
        </w:tc>
        <w:tc>
          <w:tcPr>
            <w:tcW w:w="492" w:type="pct"/>
            <w:shd w:val="clear" w:color="auto" w:fill="auto"/>
            <w:vAlign w:val="center"/>
          </w:tcPr>
          <w:p w14:paraId="12D09F6D">
            <w:pPr>
              <w:widowControl/>
              <w:snapToGrid w:val="0"/>
              <w:jc w:val="left"/>
              <w:rPr>
                <w:rFonts w:ascii="Times New Roman" w:hAnsi="Times New Roman" w:cs="Times New Roman"/>
                <w:kern w:val="0"/>
                <w:sz w:val="24"/>
                <w:szCs w:val="24"/>
              </w:rPr>
            </w:pPr>
          </w:p>
        </w:tc>
        <w:tc>
          <w:tcPr>
            <w:tcW w:w="3089" w:type="pct"/>
            <w:gridSpan w:val="4"/>
            <w:shd w:val="clear" w:color="auto" w:fill="auto"/>
            <w:vAlign w:val="center"/>
          </w:tcPr>
          <w:p w14:paraId="2FB48B7D">
            <w:pPr>
              <w:widowControl/>
              <w:snapToGrid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3C5816F2">
            <w:pPr>
              <w:widowControl/>
              <w:snapToGrid w:val="0"/>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326435E7">
        <w:tblPrEx>
          <w:tblCellMar>
            <w:top w:w="0" w:type="dxa"/>
            <w:left w:w="108" w:type="dxa"/>
            <w:bottom w:w="0" w:type="dxa"/>
            <w:right w:w="108" w:type="dxa"/>
          </w:tblCellMar>
        </w:tblPrEx>
        <w:trPr>
          <w:trHeight w:val="0" w:hRule="atLeast"/>
          <w:jc w:val="center"/>
        </w:trPr>
        <w:tc>
          <w:tcPr>
            <w:tcW w:w="336" w:type="pct"/>
            <w:shd w:val="clear" w:color="auto" w:fill="auto"/>
            <w:vAlign w:val="center"/>
          </w:tcPr>
          <w:p w14:paraId="2CC8CB5E">
            <w:pPr>
              <w:widowControl/>
              <w:snapToGrid w:val="0"/>
              <w:jc w:val="left"/>
              <w:rPr>
                <w:rFonts w:ascii="Times New Roman" w:hAnsi="Times New Roman" w:eastAsia="Times New Roman" w:cs="Times New Roman"/>
                <w:kern w:val="0"/>
                <w:sz w:val="24"/>
                <w:szCs w:val="24"/>
              </w:rPr>
            </w:pPr>
          </w:p>
        </w:tc>
        <w:tc>
          <w:tcPr>
            <w:tcW w:w="586" w:type="pct"/>
            <w:shd w:val="clear" w:color="auto" w:fill="auto"/>
            <w:vAlign w:val="center"/>
          </w:tcPr>
          <w:p w14:paraId="2E2E937D">
            <w:pPr>
              <w:widowControl/>
              <w:snapToGrid w:val="0"/>
              <w:jc w:val="left"/>
              <w:rPr>
                <w:rFonts w:ascii="Times New Roman" w:hAnsi="Times New Roman" w:eastAsia="Times New Roman" w:cs="Times New Roman"/>
                <w:kern w:val="0"/>
                <w:sz w:val="24"/>
                <w:szCs w:val="24"/>
              </w:rPr>
            </w:pPr>
          </w:p>
        </w:tc>
        <w:tc>
          <w:tcPr>
            <w:tcW w:w="495" w:type="pct"/>
            <w:shd w:val="clear" w:color="auto" w:fill="auto"/>
            <w:vAlign w:val="center"/>
          </w:tcPr>
          <w:p w14:paraId="4BDD010B">
            <w:pPr>
              <w:widowControl/>
              <w:snapToGrid w:val="0"/>
              <w:jc w:val="left"/>
              <w:rPr>
                <w:rFonts w:ascii="Times New Roman" w:hAnsi="Times New Roman" w:eastAsia="Times New Roman" w:cs="Times New Roman"/>
                <w:kern w:val="0"/>
                <w:sz w:val="24"/>
                <w:szCs w:val="24"/>
              </w:rPr>
            </w:pPr>
          </w:p>
        </w:tc>
        <w:tc>
          <w:tcPr>
            <w:tcW w:w="492" w:type="pct"/>
            <w:shd w:val="clear" w:color="auto" w:fill="auto"/>
            <w:vAlign w:val="center"/>
          </w:tcPr>
          <w:p w14:paraId="787DECA4">
            <w:pPr>
              <w:widowControl/>
              <w:snapToGrid w:val="0"/>
              <w:jc w:val="left"/>
              <w:rPr>
                <w:rFonts w:ascii="Times New Roman" w:hAnsi="Times New Roman" w:eastAsia="Times New Roman" w:cs="Times New Roman"/>
                <w:kern w:val="0"/>
                <w:sz w:val="24"/>
                <w:szCs w:val="24"/>
              </w:rPr>
            </w:pPr>
          </w:p>
        </w:tc>
        <w:tc>
          <w:tcPr>
            <w:tcW w:w="3089" w:type="pct"/>
            <w:gridSpan w:val="4"/>
            <w:shd w:val="clear" w:color="auto" w:fill="auto"/>
            <w:vAlign w:val="center"/>
          </w:tcPr>
          <w:p w14:paraId="11EC5421">
            <w:pPr>
              <w:widowControl/>
              <w:snapToGrid w:val="0"/>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6930D0B1">
      <w:pPr>
        <w:jc w:val="left"/>
        <w:rPr>
          <w:rFonts w:ascii="仿宋_GB2312" w:eastAsia="仿宋_GB2312"/>
          <w:sz w:val="32"/>
          <w:szCs w:val="32"/>
        </w:rPr>
        <w:sectPr>
          <w:pgSz w:w="11906" w:h="16838"/>
          <w:pgMar w:top="1440" w:right="1800" w:bottom="1440" w:left="1800" w:header="851" w:footer="992" w:gutter="0"/>
          <w:pgNumType w:fmt="numberInDash"/>
          <w:cols w:space="425" w:num="1"/>
          <w:docGrid w:type="lines" w:linePitch="312" w:charSpace="0"/>
        </w:sectPr>
      </w:pPr>
    </w:p>
    <w:p w14:paraId="7D55563F">
      <w:pPr>
        <w:keepNext w:val="0"/>
        <w:keepLines w:val="0"/>
        <w:pageBreakBefore w:val="0"/>
        <w:widowControl/>
        <w:kinsoku/>
        <w:wordWrap/>
        <w:overflowPunct/>
        <w:topLinePunct w:val="0"/>
        <w:autoSpaceDE/>
        <w:autoSpaceDN/>
        <w:bidi w:val="0"/>
        <w:adjustRightInd/>
        <w:snapToGrid/>
        <w:jc w:val="left"/>
        <w:textAlignment w:val="auto"/>
        <w:outlineLvl w:val="1"/>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附件2</w:t>
      </w:r>
    </w:p>
    <w:p w14:paraId="17CBABAA">
      <w:pPr>
        <w:widowControl/>
        <w:jc w:val="left"/>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 xml:space="preserve">                投标人资格、文件符合性审查表</w:t>
      </w:r>
    </w:p>
    <w:tbl>
      <w:tblPr>
        <w:tblStyle w:val="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2"/>
        <w:gridCol w:w="1476"/>
        <w:gridCol w:w="2150"/>
      </w:tblGrid>
      <w:tr w14:paraId="071F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0923C2A8">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0"/>
              <w:rPr>
                <w:rFonts w:hint="default" w:ascii="黑体" w:hAnsi="黑体" w:eastAsia="黑体" w:cs="黑体"/>
                <w:color w:val="000000"/>
                <w:kern w:val="0"/>
                <w:sz w:val="24"/>
                <w:szCs w:val="24"/>
                <w:vertAlign w:val="baseline"/>
                <w:lang w:val="en-US" w:eastAsia="zh-CN"/>
              </w:rPr>
            </w:pPr>
            <w:r>
              <w:rPr>
                <w:rFonts w:hint="eastAsia" w:ascii="黑体" w:hAnsi="黑体" w:eastAsia="黑体" w:cs="黑体"/>
                <w:sz w:val="24"/>
                <w:szCs w:val="24"/>
              </w:rPr>
              <w:t>投标人资格要求</w:t>
            </w:r>
          </w:p>
        </w:tc>
        <w:tc>
          <w:tcPr>
            <w:tcW w:w="1476" w:type="dxa"/>
          </w:tcPr>
          <w:p w14:paraId="0F409751">
            <w:pPr>
              <w:widowControl/>
              <w:jc w:val="left"/>
              <w:rPr>
                <w:rFonts w:hint="default" w:ascii="黑体" w:hAnsi="黑体" w:eastAsia="黑体" w:cs="黑体"/>
                <w:color w:val="000000"/>
                <w:kern w:val="0"/>
                <w:sz w:val="24"/>
                <w:szCs w:val="24"/>
                <w:vertAlign w:val="baseline"/>
                <w:lang w:val="en-US" w:eastAsia="zh-CN"/>
              </w:rPr>
            </w:pPr>
            <w:r>
              <w:rPr>
                <w:rFonts w:hint="eastAsia" w:ascii="黑体" w:hAnsi="黑体" w:eastAsia="黑体" w:cs="黑体"/>
                <w:color w:val="000000"/>
                <w:kern w:val="0"/>
                <w:sz w:val="24"/>
                <w:szCs w:val="24"/>
                <w:vertAlign w:val="baseline"/>
                <w:lang w:val="en-US" w:eastAsia="zh-CN"/>
              </w:rPr>
              <w:t>符合性检查（是或否）</w:t>
            </w:r>
          </w:p>
        </w:tc>
        <w:tc>
          <w:tcPr>
            <w:tcW w:w="2150" w:type="dxa"/>
          </w:tcPr>
          <w:p w14:paraId="59364C73">
            <w:pPr>
              <w:widowControl/>
              <w:jc w:val="left"/>
              <w:rPr>
                <w:rFonts w:hint="default" w:ascii="黑体" w:hAnsi="黑体" w:eastAsia="黑体" w:cs="黑体"/>
                <w:color w:val="000000"/>
                <w:kern w:val="0"/>
                <w:sz w:val="24"/>
                <w:szCs w:val="24"/>
                <w:vertAlign w:val="baseline"/>
                <w:lang w:val="en-US" w:eastAsia="zh-CN"/>
              </w:rPr>
            </w:pPr>
            <w:r>
              <w:rPr>
                <w:rFonts w:hint="eastAsia" w:ascii="黑体" w:hAnsi="黑体" w:eastAsia="黑体" w:cs="黑体"/>
                <w:color w:val="000000"/>
                <w:kern w:val="0"/>
                <w:sz w:val="24"/>
                <w:szCs w:val="24"/>
                <w:vertAlign w:val="baseline"/>
                <w:lang w:val="en-US" w:eastAsia="zh-CN"/>
              </w:rPr>
              <w:t>页码（证明资料）</w:t>
            </w:r>
          </w:p>
        </w:tc>
      </w:tr>
      <w:tr w14:paraId="0A63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35A3560F">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1.报价函及报价表（按附件1格式，总报价清晰且不超上限价）</w:t>
            </w:r>
          </w:p>
        </w:tc>
        <w:tc>
          <w:tcPr>
            <w:tcW w:w="1476" w:type="dxa"/>
          </w:tcPr>
          <w:p w14:paraId="1E78DF5C">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2C3C32FB">
            <w:pPr>
              <w:widowControl/>
              <w:jc w:val="left"/>
              <w:rPr>
                <w:rFonts w:hint="default" w:ascii="黑体" w:hAnsi="黑体" w:eastAsia="黑体" w:cs="黑体"/>
                <w:color w:val="000000"/>
                <w:kern w:val="0"/>
                <w:sz w:val="24"/>
                <w:szCs w:val="24"/>
                <w:vertAlign w:val="baseline"/>
                <w:lang w:val="en-US" w:eastAsia="zh-CN"/>
              </w:rPr>
            </w:pPr>
          </w:p>
        </w:tc>
      </w:tr>
      <w:tr w14:paraId="48D1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6D6A5E3A">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2.有效的营业执照（经营范围包含资产评估、土地评估或房地产评估相关内容）</w:t>
            </w:r>
          </w:p>
        </w:tc>
        <w:tc>
          <w:tcPr>
            <w:tcW w:w="1476" w:type="dxa"/>
          </w:tcPr>
          <w:p w14:paraId="14A76503">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0037FD99">
            <w:pPr>
              <w:widowControl/>
              <w:jc w:val="left"/>
              <w:rPr>
                <w:rFonts w:hint="default" w:ascii="黑体" w:hAnsi="黑体" w:eastAsia="黑体" w:cs="黑体"/>
                <w:color w:val="000000"/>
                <w:kern w:val="0"/>
                <w:sz w:val="24"/>
                <w:szCs w:val="24"/>
                <w:vertAlign w:val="baseline"/>
                <w:lang w:val="en-US" w:eastAsia="zh-CN"/>
              </w:rPr>
            </w:pPr>
          </w:p>
        </w:tc>
      </w:tr>
      <w:tr w14:paraId="2004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35C5D737">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3.财政部门颁发的资产评估机构备案证明（或省级财政部门备案公告），或土地估价机构备案证明、房地产估价机构备案证明（提供复印件加盖公章）</w:t>
            </w:r>
          </w:p>
        </w:tc>
        <w:tc>
          <w:tcPr>
            <w:tcW w:w="1476" w:type="dxa"/>
          </w:tcPr>
          <w:p w14:paraId="4541BF77">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5EBA8ED4">
            <w:pPr>
              <w:widowControl/>
              <w:jc w:val="left"/>
              <w:rPr>
                <w:rFonts w:hint="default" w:ascii="黑体" w:hAnsi="黑体" w:eastAsia="黑体" w:cs="黑体"/>
                <w:color w:val="000000"/>
                <w:kern w:val="0"/>
                <w:sz w:val="24"/>
                <w:szCs w:val="24"/>
                <w:vertAlign w:val="baseline"/>
                <w:lang w:val="en-US" w:eastAsia="zh-CN"/>
              </w:rPr>
            </w:pPr>
          </w:p>
        </w:tc>
      </w:tr>
      <w:tr w14:paraId="66A6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53DD6274">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4.项目负责人的注册资产评估师（或相应专业评估师）资格证书及近3个月社保证明（在本单位缴纳）</w:t>
            </w:r>
          </w:p>
        </w:tc>
        <w:tc>
          <w:tcPr>
            <w:tcW w:w="1476" w:type="dxa"/>
          </w:tcPr>
          <w:p w14:paraId="0E4B1C3A">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75F7283A">
            <w:pPr>
              <w:widowControl/>
              <w:jc w:val="left"/>
              <w:rPr>
                <w:rFonts w:hint="default" w:ascii="黑体" w:hAnsi="黑体" w:eastAsia="黑体" w:cs="黑体"/>
                <w:color w:val="000000"/>
                <w:kern w:val="0"/>
                <w:sz w:val="24"/>
                <w:szCs w:val="24"/>
                <w:vertAlign w:val="baseline"/>
                <w:lang w:val="en-US" w:eastAsia="zh-CN"/>
              </w:rPr>
            </w:pPr>
          </w:p>
        </w:tc>
      </w:tr>
      <w:tr w14:paraId="47E3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770CEBE0">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 类似海域使用权、养殖设施（网箱）或涉海资产租金评估的服务业绩（至少提供1份合同关键页复印件）</w:t>
            </w:r>
          </w:p>
        </w:tc>
        <w:tc>
          <w:tcPr>
            <w:tcW w:w="1476" w:type="dxa"/>
          </w:tcPr>
          <w:p w14:paraId="78F551D5">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7E6AAEF8">
            <w:pPr>
              <w:widowControl/>
              <w:jc w:val="left"/>
              <w:rPr>
                <w:rFonts w:hint="default" w:ascii="黑体" w:hAnsi="黑体" w:eastAsia="黑体" w:cs="黑体"/>
                <w:color w:val="000000"/>
                <w:kern w:val="0"/>
                <w:sz w:val="24"/>
                <w:szCs w:val="24"/>
                <w:vertAlign w:val="baseline"/>
                <w:lang w:val="en-US" w:eastAsia="zh-CN"/>
              </w:rPr>
            </w:pPr>
          </w:p>
        </w:tc>
      </w:tr>
      <w:tr w14:paraId="67D5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594622F4">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6.投标截止日前6个月内任意1个月依法缴纳税收和社会保障资金的证明材料（如完税证明、社保缴款凭证）</w:t>
            </w:r>
          </w:p>
        </w:tc>
        <w:tc>
          <w:tcPr>
            <w:tcW w:w="1476" w:type="dxa"/>
          </w:tcPr>
          <w:p w14:paraId="0B59F354">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23EA11FE">
            <w:pPr>
              <w:widowControl/>
              <w:jc w:val="left"/>
              <w:rPr>
                <w:rFonts w:hint="default" w:ascii="黑体" w:hAnsi="黑体" w:eastAsia="黑体" w:cs="黑体"/>
                <w:color w:val="000000"/>
                <w:kern w:val="0"/>
                <w:sz w:val="24"/>
                <w:szCs w:val="24"/>
                <w:vertAlign w:val="baseline"/>
                <w:lang w:val="en-US" w:eastAsia="zh-CN"/>
              </w:rPr>
            </w:pPr>
          </w:p>
        </w:tc>
      </w:tr>
      <w:tr w14:paraId="4AF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74D2F920">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7.参加本次采购活动前三年内在经营活动中无重大违法记录的书面声明（格式自拟）</w:t>
            </w:r>
          </w:p>
        </w:tc>
        <w:tc>
          <w:tcPr>
            <w:tcW w:w="1476" w:type="dxa"/>
          </w:tcPr>
          <w:p w14:paraId="1EF000E1">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030CDDDB">
            <w:pPr>
              <w:widowControl/>
              <w:jc w:val="left"/>
              <w:rPr>
                <w:rFonts w:hint="default" w:ascii="黑体" w:hAnsi="黑体" w:eastAsia="黑体" w:cs="黑体"/>
                <w:color w:val="000000"/>
                <w:kern w:val="0"/>
                <w:sz w:val="24"/>
                <w:szCs w:val="24"/>
                <w:vertAlign w:val="baseline"/>
                <w:lang w:val="en-US" w:eastAsia="zh-CN"/>
              </w:rPr>
            </w:pPr>
          </w:p>
        </w:tc>
      </w:tr>
      <w:tr w14:paraId="3D7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4EE64B68">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8.“信用中国”网站(www.creditchina.gov.cn)及中国政府采购网(www.ccgp.gov.cn)信用记录查询截图（未被列入失信被执行人、重大税收违法案件当事人、政府采购严重违法失信行为记录名单）或提供承诺函</w:t>
            </w:r>
          </w:p>
        </w:tc>
        <w:tc>
          <w:tcPr>
            <w:tcW w:w="1476" w:type="dxa"/>
          </w:tcPr>
          <w:p w14:paraId="5E67D569">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2478F693">
            <w:pPr>
              <w:widowControl/>
              <w:jc w:val="left"/>
              <w:rPr>
                <w:rFonts w:hint="default" w:ascii="黑体" w:hAnsi="黑体" w:eastAsia="黑体" w:cs="黑体"/>
                <w:color w:val="000000"/>
                <w:kern w:val="0"/>
                <w:sz w:val="24"/>
                <w:szCs w:val="24"/>
                <w:vertAlign w:val="baseline"/>
                <w:lang w:val="en-US" w:eastAsia="zh-CN"/>
              </w:rPr>
            </w:pPr>
          </w:p>
        </w:tc>
      </w:tr>
      <w:tr w14:paraId="469F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759321F3">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9.单位负责人为同一人或者存在直接控股、管理关系的不同供应商，不得同时参加本项目的声明函（格式自拟）</w:t>
            </w:r>
          </w:p>
        </w:tc>
        <w:tc>
          <w:tcPr>
            <w:tcW w:w="1476" w:type="dxa"/>
          </w:tcPr>
          <w:p w14:paraId="51105A5D">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48B2D4C0">
            <w:pPr>
              <w:widowControl/>
              <w:jc w:val="left"/>
              <w:rPr>
                <w:rFonts w:hint="default" w:ascii="黑体" w:hAnsi="黑体" w:eastAsia="黑体" w:cs="黑体"/>
                <w:color w:val="000000"/>
                <w:kern w:val="0"/>
                <w:sz w:val="24"/>
                <w:szCs w:val="24"/>
                <w:vertAlign w:val="baseline"/>
                <w:lang w:val="en-US" w:eastAsia="zh-CN"/>
              </w:rPr>
            </w:pPr>
          </w:p>
        </w:tc>
      </w:tr>
      <w:tr w14:paraId="207B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59EA6409">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10.非联合体投标声明函（格式自拟）</w:t>
            </w:r>
          </w:p>
        </w:tc>
        <w:tc>
          <w:tcPr>
            <w:tcW w:w="1476" w:type="dxa"/>
          </w:tcPr>
          <w:p w14:paraId="75118267">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390EC22F">
            <w:pPr>
              <w:widowControl/>
              <w:jc w:val="left"/>
              <w:rPr>
                <w:rFonts w:hint="default" w:ascii="黑体" w:hAnsi="黑体" w:eastAsia="黑体" w:cs="黑体"/>
                <w:color w:val="000000"/>
                <w:kern w:val="0"/>
                <w:sz w:val="24"/>
                <w:szCs w:val="24"/>
                <w:vertAlign w:val="baseline"/>
                <w:lang w:val="en-US" w:eastAsia="zh-CN"/>
              </w:rPr>
            </w:pPr>
          </w:p>
        </w:tc>
      </w:tr>
      <w:tr w14:paraId="0F3F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47620F46">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11.廉政协议的承诺函：承诺中标后与招标人签订廉洁协议（格式自拟）</w:t>
            </w:r>
          </w:p>
        </w:tc>
        <w:tc>
          <w:tcPr>
            <w:tcW w:w="1476" w:type="dxa"/>
          </w:tcPr>
          <w:p w14:paraId="502EFD32">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3D0BCDFF">
            <w:pPr>
              <w:widowControl/>
              <w:jc w:val="left"/>
              <w:rPr>
                <w:rFonts w:hint="default" w:ascii="黑体" w:hAnsi="黑体" w:eastAsia="黑体" w:cs="黑体"/>
                <w:color w:val="000000"/>
                <w:kern w:val="0"/>
                <w:sz w:val="24"/>
                <w:szCs w:val="24"/>
                <w:vertAlign w:val="baseline"/>
                <w:lang w:val="en-US" w:eastAsia="zh-CN"/>
              </w:rPr>
            </w:pPr>
          </w:p>
        </w:tc>
      </w:tr>
      <w:tr w14:paraId="6BDA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2E13D18F">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12.服务方案（包括但不限于评估工作计划、技术路线、质量保证措施、进度安排、人员配置等）</w:t>
            </w:r>
          </w:p>
        </w:tc>
        <w:tc>
          <w:tcPr>
            <w:tcW w:w="1476" w:type="dxa"/>
          </w:tcPr>
          <w:p w14:paraId="74D1403A">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2E5DD00F">
            <w:pPr>
              <w:widowControl/>
              <w:jc w:val="left"/>
              <w:rPr>
                <w:rFonts w:hint="default" w:ascii="黑体" w:hAnsi="黑体" w:eastAsia="黑体" w:cs="黑体"/>
                <w:color w:val="000000"/>
                <w:kern w:val="0"/>
                <w:sz w:val="24"/>
                <w:szCs w:val="24"/>
                <w:vertAlign w:val="baseline"/>
                <w:lang w:val="en-US" w:eastAsia="zh-CN"/>
              </w:rPr>
            </w:pPr>
          </w:p>
        </w:tc>
      </w:tr>
    </w:tbl>
    <w:p w14:paraId="13CA9816">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注：1. 请投标人按以上顺序整理证明材料，并在目录注明资料所在页码。</w:t>
      </w:r>
    </w:p>
    <w:p w14:paraId="23C978AA">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 本表可作为投标文件封面或目录，具体格式可自拟，但内容应完整。</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5F2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736A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5736A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GYyODZlZDgxZGE5OGRjOTEzZDVkODU4OTUzZGYifQ=="/>
  </w:docVars>
  <w:rsids>
    <w:rsidRoot w:val="0016559C"/>
    <w:rsid w:val="00013213"/>
    <w:rsid w:val="00023038"/>
    <w:rsid w:val="00032D49"/>
    <w:rsid w:val="00033EE2"/>
    <w:rsid w:val="000345F1"/>
    <w:rsid w:val="000A3395"/>
    <w:rsid w:val="000B2AAD"/>
    <w:rsid w:val="000C323B"/>
    <w:rsid w:val="000E1F7A"/>
    <w:rsid w:val="00101E86"/>
    <w:rsid w:val="00117743"/>
    <w:rsid w:val="00136B3F"/>
    <w:rsid w:val="0016559C"/>
    <w:rsid w:val="00191715"/>
    <w:rsid w:val="001E57AD"/>
    <w:rsid w:val="0021440E"/>
    <w:rsid w:val="00214B14"/>
    <w:rsid w:val="00245E2B"/>
    <w:rsid w:val="00255C74"/>
    <w:rsid w:val="00293AC8"/>
    <w:rsid w:val="002967EF"/>
    <w:rsid w:val="002B27E4"/>
    <w:rsid w:val="002C2AA2"/>
    <w:rsid w:val="00333BD2"/>
    <w:rsid w:val="00354B10"/>
    <w:rsid w:val="00375EE1"/>
    <w:rsid w:val="0038564F"/>
    <w:rsid w:val="003D6656"/>
    <w:rsid w:val="003E73D7"/>
    <w:rsid w:val="00425F1B"/>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3AA7"/>
    <w:rsid w:val="00776CCB"/>
    <w:rsid w:val="00784E9A"/>
    <w:rsid w:val="007914B3"/>
    <w:rsid w:val="007A0EBD"/>
    <w:rsid w:val="007B33EC"/>
    <w:rsid w:val="007E64FC"/>
    <w:rsid w:val="00806F6F"/>
    <w:rsid w:val="0080712E"/>
    <w:rsid w:val="008342EF"/>
    <w:rsid w:val="00847A9E"/>
    <w:rsid w:val="008511A0"/>
    <w:rsid w:val="0089496D"/>
    <w:rsid w:val="008A4361"/>
    <w:rsid w:val="008C4520"/>
    <w:rsid w:val="008C5595"/>
    <w:rsid w:val="00922E93"/>
    <w:rsid w:val="0093254D"/>
    <w:rsid w:val="00950BC0"/>
    <w:rsid w:val="00956793"/>
    <w:rsid w:val="009C1D2B"/>
    <w:rsid w:val="009F746C"/>
    <w:rsid w:val="00A16FCB"/>
    <w:rsid w:val="00A211AB"/>
    <w:rsid w:val="00A43243"/>
    <w:rsid w:val="00A75A10"/>
    <w:rsid w:val="00A85A63"/>
    <w:rsid w:val="00A86D97"/>
    <w:rsid w:val="00A96D97"/>
    <w:rsid w:val="00AC39B3"/>
    <w:rsid w:val="00AF46AE"/>
    <w:rsid w:val="00B04F07"/>
    <w:rsid w:val="00B524FB"/>
    <w:rsid w:val="00B930DB"/>
    <w:rsid w:val="00BA78AE"/>
    <w:rsid w:val="00BB5495"/>
    <w:rsid w:val="00BC4962"/>
    <w:rsid w:val="00BD7463"/>
    <w:rsid w:val="00BE17AB"/>
    <w:rsid w:val="00BF4A41"/>
    <w:rsid w:val="00C02E24"/>
    <w:rsid w:val="00C21F33"/>
    <w:rsid w:val="00C2202F"/>
    <w:rsid w:val="00C61AEE"/>
    <w:rsid w:val="00C62B68"/>
    <w:rsid w:val="00C848E9"/>
    <w:rsid w:val="00CD508A"/>
    <w:rsid w:val="00D01D36"/>
    <w:rsid w:val="00D01F64"/>
    <w:rsid w:val="00D36E79"/>
    <w:rsid w:val="00D76253"/>
    <w:rsid w:val="00D777A6"/>
    <w:rsid w:val="00DA01E5"/>
    <w:rsid w:val="00DE0DE9"/>
    <w:rsid w:val="00E00C09"/>
    <w:rsid w:val="00E13EA6"/>
    <w:rsid w:val="00E3770A"/>
    <w:rsid w:val="00E55246"/>
    <w:rsid w:val="00E76232"/>
    <w:rsid w:val="00E847F2"/>
    <w:rsid w:val="00E91C77"/>
    <w:rsid w:val="00EA2C51"/>
    <w:rsid w:val="00EB3863"/>
    <w:rsid w:val="00EC4F2A"/>
    <w:rsid w:val="00EF15B1"/>
    <w:rsid w:val="00F03798"/>
    <w:rsid w:val="00F24ECB"/>
    <w:rsid w:val="00F73B94"/>
    <w:rsid w:val="00FA30B1"/>
    <w:rsid w:val="00FD7180"/>
    <w:rsid w:val="00FE776A"/>
    <w:rsid w:val="00FF58EB"/>
    <w:rsid w:val="00FF5BA5"/>
    <w:rsid w:val="02704AC1"/>
    <w:rsid w:val="02CF46F5"/>
    <w:rsid w:val="02F95332"/>
    <w:rsid w:val="033B50CF"/>
    <w:rsid w:val="0348159A"/>
    <w:rsid w:val="0399352E"/>
    <w:rsid w:val="040251CE"/>
    <w:rsid w:val="047678BF"/>
    <w:rsid w:val="04FA7D65"/>
    <w:rsid w:val="0A327637"/>
    <w:rsid w:val="0A8B5655"/>
    <w:rsid w:val="0BD81863"/>
    <w:rsid w:val="0C030754"/>
    <w:rsid w:val="0E8F4289"/>
    <w:rsid w:val="0EF83ED5"/>
    <w:rsid w:val="11135985"/>
    <w:rsid w:val="122B4561"/>
    <w:rsid w:val="122D02D9"/>
    <w:rsid w:val="12637AB1"/>
    <w:rsid w:val="12B553AA"/>
    <w:rsid w:val="131E5E73"/>
    <w:rsid w:val="138767C9"/>
    <w:rsid w:val="141D70BF"/>
    <w:rsid w:val="146D0E60"/>
    <w:rsid w:val="14933F96"/>
    <w:rsid w:val="15077B39"/>
    <w:rsid w:val="1680360B"/>
    <w:rsid w:val="16A64F23"/>
    <w:rsid w:val="16DC24ED"/>
    <w:rsid w:val="175023C7"/>
    <w:rsid w:val="18100740"/>
    <w:rsid w:val="19571105"/>
    <w:rsid w:val="1AB01BE3"/>
    <w:rsid w:val="1B024A1B"/>
    <w:rsid w:val="1CE77425"/>
    <w:rsid w:val="1D5C2A5E"/>
    <w:rsid w:val="22093E37"/>
    <w:rsid w:val="22154A8F"/>
    <w:rsid w:val="228E4DC3"/>
    <w:rsid w:val="22A62BF5"/>
    <w:rsid w:val="23BF1B52"/>
    <w:rsid w:val="25D21D06"/>
    <w:rsid w:val="25EA077F"/>
    <w:rsid w:val="26802C75"/>
    <w:rsid w:val="29804D3A"/>
    <w:rsid w:val="2B13630C"/>
    <w:rsid w:val="2C8163D9"/>
    <w:rsid w:val="2DE0049D"/>
    <w:rsid w:val="2E847190"/>
    <w:rsid w:val="2EB4599C"/>
    <w:rsid w:val="2F8512FC"/>
    <w:rsid w:val="30552D1F"/>
    <w:rsid w:val="305E56A9"/>
    <w:rsid w:val="309E34D9"/>
    <w:rsid w:val="319C697D"/>
    <w:rsid w:val="35B90DD2"/>
    <w:rsid w:val="36D76B1C"/>
    <w:rsid w:val="38B13980"/>
    <w:rsid w:val="3A244938"/>
    <w:rsid w:val="3B4E391E"/>
    <w:rsid w:val="3BC77886"/>
    <w:rsid w:val="3BF67B9E"/>
    <w:rsid w:val="3D0051F7"/>
    <w:rsid w:val="3DBF48A0"/>
    <w:rsid w:val="3F21430D"/>
    <w:rsid w:val="3F6902F3"/>
    <w:rsid w:val="3FB23F0B"/>
    <w:rsid w:val="3FCE3E10"/>
    <w:rsid w:val="42D54D3A"/>
    <w:rsid w:val="42D94538"/>
    <w:rsid w:val="43253E38"/>
    <w:rsid w:val="433A7208"/>
    <w:rsid w:val="439B3D2E"/>
    <w:rsid w:val="43AA224B"/>
    <w:rsid w:val="43C24475"/>
    <w:rsid w:val="43F568DE"/>
    <w:rsid w:val="468C46BC"/>
    <w:rsid w:val="4A286FFC"/>
    <w:rsid w:val="4ABE6D67"/>
    <w:rsid w:val="4AFB2C10"/>
    <w:rsid w:val="4B653B14"/>
    <w:rsid w:val="4CA759EA"/>
    <w:rsid w:val="4D66553A"/>
    <w:rsid w:val="4DBD6EEB"/>
    <w:rsid w:val="50332D14"/>
    <w:rsid w:val="53443B63"/>
    <w:rsid w:val="53B55DF4"/>
    <w:rsid w:val="55F0088B"/>
    <w:rsid w:val="58893220"/>
    <w:rsid w:val="59BB35A6"/>
    <w:rsid w:val="59E34532"/>
    <w:rsid w:val="5A395B76"/>
    <w:rsid w:val="5A6E0A5B"/>
    <w:rsid w:val="5B113E9E"/>
    <w:rsid w:val="5B616CB8"/>
    <w:rsid w:val="5D644F3B"/>
    <w:rsid w:val="60291AE5"/>
    <w:rsid w:val="60E17CED"/>
    <w:rsid w:val="61601DAF"/>
    <w:rsid w:val="61646714"/>
    <w:rsid w:val="61F13A0F"/>
    <w:rsid w:val="622D4855"/>
    <w:rsid w:val="635A680F"/>
    <w:rsid w:val="646D475E"/>
    <w:rsid w:val="64FC423C"/>
    <w:rsid w:val="65E05A4C"/>
    <w:rsid w:val="66E60967"/>
    <w:rsid w:val="6729595D"/>
    <w:rsid w:val="67B406B2"/>
    <w:rsid w:val="67E94F78"/>
    <w:rsid w:val="68082271"/>
    <w:rsid w:val="69145C3C"/>
    <w:rsid w:val="6A9D599D"/>
    <w:rsid w:val="6AB204F0"/>
    <w:rsid w:val="6D5548BD"/>
    <w:rsid w:val="6E012444"/>
    <w:rsid w:val="6E1B6F75"/>
    <w:rsid w:val="6E421B8B"/>
    <w:rsid w:val="6ED404DD"/>
    <w:rsid w:val="6ED91E9B"/>
    <w:rsid w:val="72D50974"/>
    <w:rsid w:val="73AD066D"/>
    <w:rsid w:val="741D7F6F"/>
    <w:rsid w:val="742C30C1"/>
    <w:rsid w:val="755B7BD7"/>
    <w:rsid w:val="75DA1EAA"/>
    <w:rsid w:val="7A1E2086"/>
    <w:rsid w:val="7A432F13"/>
    <w:rsid w:val="7B680AE2"/>
    <w:rsid w:val="7D857C2D"/>
    <w:rsid w:val="7FE6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uiPriority w:val="0"/>
    <w:pPr>
      <w:widowControl w:val="0"/>
      <w:spacing w:before="0" w:after="0" w:line="600" w:lineRule="exact"/>
      <w:ind w:left="200" w:leftChars="200" w:right="0"/>
      <w:jc w:val="both"/>
    </w:pPr>
    <w:rPr>
      <w:rFonts w:ascii="Times New Roman" w:hAnsi="Times New Roman" w:eastAsia="宋体" w:cs="Droid Sans"/>
      <w:kern w:val="2"/>
      <w:sz w:val="32"/>
      <w:szCs w:val="24"/>
      <w:lang w:val="en-US" w:eastAsia="zh-CN" w:bidi="ar-SA"/>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未处理的提及1"/>
    <w:basedOn w:val="9"/>
    <w:semiHidden/>
    <w:unhideWhenUsed/>
    <w:qFormat/>
    <w:uiPriority w:val="99"/>
    <w:rPr>
      <w:color w:val="605E5C"/>
      <w:shd w:val="clear" w:color="auto" w:fill="E1DFDD"/>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1753</Words>
  <Characters>1984</Characters>
  <Lines>6</Lines>
  <Paragraphs>1</Paragraphs>
  <TotalTime>1</TotalTime>
  <ScaleCrop>false</ScaleCrop>
  <LinksUpToDate>false</LinksUpToDate>
  <CharactersWithSpaces>2076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Zed丶Leblanc</cp:lastModifiedBy>
  <dcterms:modified xsi:type="dcterms:W3CDTF">2026-06-05T09:02:34Z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47A5FECB92E64CC5B1767941E06EDDD8_13</vt:lpwstr>
  </property>
  <property fmtid="{D5CDD505-2E9C-101B-9397-08002B2CF9AE}" pid="4" name="KSOTemplateDocerSaveRecord">
    <vt:lpwstr>eyJoZGlkIjoiZjFmZWIzNDg2MmIzZjExOTIzMmViNTBmYTMwYTk0ZWYiLCJ1c2VySWQiOiIzMzU0NzM2MzMifQ==</vt:lpwstr>
  </property>
</Properties>
</file>