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575B">
      <w:pPr>
        <w:pStyle w:val="15"/>
        <w:widowControl/>
        <w:jc w:val="center"/>
      </w:pPr>
      <w:bookmarkStart w:id="0" w:name="_GoBack"/>
      <w:bookmarkEnd w:id="0"/>
      <mc:AlternateContent>
        <mc:Choice Requires="wpsCustomData">
          <wpsCustomData:docfieldStart id="0" docfieldname="标题_1" hidden="0" print="1" readonly="0" index="4"/>
        </mc:Choice>
      </mc:AlternateContent>
      <w:r>
        <w:t>道路标线设备采购技术参数要求</w:t>
      </w:r>
      <mc:AlternateContent>
        <mc:Choice Requires="wpsCustomData">
          <wpsCustomData:docfieldEnd id="0"/>
        </mc:Choice>
      </mc:AlternateContent>
    </w:p>
    <w:p w14:paraId="66EF8D5E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一、</w:t>
      </w:r>
      <w:r>
        <w:t>核心设备技术参数要求</w:t>
      </w:r>
    </w:p>
    <w:p w14:paraId="27770D28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（一）</w:t>
      </w:r>
      <w:r>
        <w:rPr>
          <w:rStyle w:val="19"/>
        </w:rPr>
        <w:t>燃油加热型热熔釜</w:t>
      </w:r>
      <w:r>
        <w:rPr>
          <w:rFonts w:ascii="仿宋_GB2312" w:hAnsi="仿宋_GB2312" w:eastAsia="仿宋_GB2312" w:cs="Times New Roman"/>
          <w:color w:val="000000"/>
          <w:sz w:val="32"/>
          <w:bdr w:val="none" w:color="auto" w:sz="0" w:space="0"/>
        </w:rPr>
        <w:t>：采用导热油间接加热结构，配置柴油喷射式燃烧机、液压驱动搅拌系统及全自动温控系统，具备双层保温结构。不接受直接加热、燃气加热及普通电动搅拌机型。</w:t>
      </w:r>
    </w:p>
    <w:p w14:paraId="1ECD710C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（二）</w:t>
      </w:r>
      <w:r>
        <w:rPr>
          <w:rStyle w:val="19"/>
        </w:rPr>
        <w:t>自行式热熔震荡道路划线机</w:t>
      </w:r>
      <w:r>
        <w:rPr>
          <w:rFonts w:ascii="仿宋_GB2312" w:hAnsi="仿宋_GB2312" w:eastAsia="仿宋_GB2312" w:cs="Times New Roman"/>
          <w:color w:val="000000"/>
          <w:sz w:val="32"/>
          <w:bdr w:val="none" w:color="auto" w:sz="0" w:space="0"/>
        </w:rPr>
        <w:t>：采用燃油动力自行走设计；配置可编程数显控制系统，可精准调节震荡标线凸起参数；料桶采用双层保温结构。不接受纯手推式结构。</w:t>
      </w:r>
    </w:p>
    <w:p w14:paraId="3F1D0D6C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（三）</w:t>
      </w:r>
      <w:r>
        <w:rPr>
          <w:rStyle w:val="19"/>
        </w:rPr>
        <w:t>手推式热熔道路划线机</w:t>
      </w:r>
      <w:r>
        <w:rPr>
          <w:rFonts w:ascii="仿宋_GB2312" w:hAnsi="仿宋_GB2312" w:eastAsia="仿宋_GB2312" w:cs="Times New Roman"/>
          <w:color w:val="000000"/>
          <w:sz w:val="32"/>
          <w:bdr w:val="none" w:color="auto" w:sz="0" w:space="0"/>
        </w:rPr>
        <w:t>：涂料罐有效容积≥50L，玻璃珠箱容积≥10L；标线厚度支持1.5mm－3.0mm无级可调，支持100－450mm多宽度料斗选配。</w:t>
      </w:r>
    </w:p>
    <w:p w14:paraId="2DEB6D05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（四）</w:t>
      </w:r>
      <w:r>
        <w:rPr>
          <w:rStyle w:val="19"/>
        </w:rPr>
        <w:t>标线清除设备</w:t>
      </w:r>
      <w:r>
        <w:rPr>
          <w:rFonts w:ascii="仿宋_GB2312" w:hAnsi="仿宋_GB2312" w:eastAsia="仿宋_GB2312" w:cs="Times New Roman"/>
          <w:color w:val="000000"/>
          <w:sz w:val="32"/>
          <w:bdr w:val="none" w:color="auto" w:sz="0" w:space="0"/>
        </w:rPr>
        <w:t>：采用平旋式铣刨除线结构，不接受简易打磨式除线结构。</w:t>
      </w:r>
    </w:p>
    <w:p w14:paraId="40348923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（五）</w:t>
      </w:r>
      <w:r>
        <w:rPr>
          <w:rStyle w:val="19"/>
        </w:rPr>
        <w:t>配套辅助设备</w:t>
      </w:r>
      <w:r>
        <w:rPr>
          <w:rFonts w:ascii="仿宋_GB2312" w:hAnsi="仿宋_GB2312" w:eastAsia="仿宋_GB2312" w:cs="Times New Roman"/>
          <w:color w:val="000000"/>
          <w:sz w:val="32"/>
          <w:bdr w:val="none" w:color="auto" w:sz="0" w:space="0"/>
        </w:rPr>
        <w:t>：下涂剂喷涂设备、路面清扫设备、预标线设备均为独立分体机型；预标线设备支持1－4条预标线同步施划。不接受集成式一体机。</w:t>
      </w:r>
    </w:p>
    <w:p w14:paraId="01798F01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二、</w:t>
      </w:r>
      <w:r>
        <w:t>综合服务要求</w:t>
      </w:r>
    </w:p>
    <w:p w14:paraId="777125BD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/>
        <w:rPr>
          <w:rFonts w:ascii="仿宋_GB2312" w:hAnsi="仿宋_GB2312" w:eastAsia="仿宋_GB2312" w:cs="Times New Roman"/>
          <w:b w:val="0"/>
          <w:color w:val="000000"/>
          <w:sz w:val="32"/>
          <w:bdr w:val="none" w:sz="0" w:space="0"/>
        </w:rPr>
      </w:pPr>
      <w:r>
        <w:rPr>
          <w:rFonts w:hint="eastAsia" w:cs="Times New Roman"/>
          <w:color w:val="000000"/>
          <w:sz w:val="32"/>
          <w:bdr w:val="none" w:color="auto" w:sz="0" w:space="0"/>
          <w:lang w:eastAsia="zh-CN"/>
        </w:rPr>
        <w:t>1.</w:t>
      </w:r>
      <w:r>
        <w:rPr>
          <w:rFonts w:ascii="仿宋_GB2312" w:hAnsi="仿宋_GB2312" w:eastAsia="仿宋_GB2312" w:cs="Times New Roman"/>
          <w:color w:val="000000"/>
          <w:sz w:val="32"/>
          <w:bdr w:val="none" w:color="auto" w:sz="0" w:space="0"/>
        </w:rPr>
        <w:t>设备品牌需具备</w:t>
      </w:r>
      <w:r>
        <w:rPr>
          <w:rFonts w:hint="eastAsia" w:cs="Times New Roman"/>
          <w:color w:val="000000"/>
          <w:sz w:val="32"/>
          <w:bdr w:val="none" w:color="auto" w:sz="0" w:space="0"/>
          <w:lang w:val="en-US" w:eastAsia="zh-CN"/>
        </w:rPr>
        <w:t>10</w:t>
      </w:r>
      <w:r>
        <w:rPr>
          <w:rFonts w:ascii="仿宋_GB2312" w:hAnsi="仿宋_GB2312" w:eastAsia="仿宋_GB2312" w:cs="Times New Roman"/>
          <w:color w:val="000000"/>
          <w:sz w:val="32"/>
          <w:bdr w:val="none" w:color="auto" w:sz="0" w:space="0"/>
        </w:rPr>
        <w:t>年以上道路标线设备研发生产经验，拥有完整的标线机械、标线涂料产业链配套能力，优先选用行业内品类齐全、市场占有率高的成熟品牌。</w:t>
      </w:r>
    </w:p>
    <w:p w14:paraId="526514C3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/>
        <w:rPr>
          <w:rFonts w:ascii="仿宋_GB2312" w:hAnsi="仿宋_GB2312" w:eastAsia="仿宋_GB2312" w:cs="Times New Roman"/>
          <w:b w:val="0"/>
          <w:color w:val="000000"/>
          <w:sz w:val="32"/>
          <w:bdr w:val="none" w:sz="0" w:space="0"/>
        </w:rPr>
      </w:pPr>
      <w:r>
        <w:rPr>
          <w:rFonts w:hint="eastAsia" w:cs="Times New Roman"/>
          <w:color w:val="000000"/>
          <w:sz w:val="32"/>
          <w:bdr w:val="none" w:color="auto" w:sz="0" w:space="0"/>
          <w:lang w:eastAsia="zh-CN"/>
        </w:rPr>
        <w:t>2.</w:t>
      </w:r>
      <w:r>
        <w:rPr>
          <w:rFonts w:ascii="仿宋_GB2312" w:hAnsi="仿宋_GB2312" w:eastAsia="仿宋_GB2312" w:cs="Times New Roman"/>
          <w:color w:val="000000"/>
          <w:sz w:val="32"/>
          <w:bdr w:val="none" w:color="auto" w:sz="0" w:space="0"/>
        </w:rPr>
        <w:t>报价需明确设备标准配置清单，随机备品备件齐全；售后提供终身维护服务，质保期内非人为损坏免费维修更换。</w:t>
      </w:r>
    </w:p>
    <w:p w14:paraId="001EADFE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/>
        <w:rPr>
          <w:rFonts w:ascii="仿宋_GB2312" w:hAnsi="仿宋_GB2312" w:eastAsia="仿宋_GB2312" w:cs="Times New Roman"/>
          <w:b w:val="0"/>
          <w:color w:val="000000"/>
          <w:sz w:val="32"/>
          <w:bdr w:val="none" w:sz="0" w:space="0"/>
        </w:rPr>
      </w:pPr>
      <w:r>
        <w:rPr>
          <w:rFonts w:hint="eastAsia" w:cs="Times New Roman"/>
          <w:color w:val="000000"/>
          <w:sz w:val="32"/>
          <w:bdr w:val="none" w:color="auto" w:sz="0" w:space="0"/>
          <w:lang w:eastAsia="zh-CN"/>
        </w:rPr>
        <w:t>3.</w:t>
      </w:r>
      <w:r>
        <w:rPr>
          <w:rFonts w:ascii="仿宋_GB2312" w:hAnsi="仿宋_GB2312" w:eastAsia="仿宋_GB2312" w:cs="Times New Roman"/>
          <w:color w:val="000000"/>
          <w:sz w:val="32"/>
          <w:bdr w:val="none" w:color="auto" w:sz="0" w:space="0"/>
        </w:rPr>
        <w:t>设备供货周期不得超过10个工作日，可配合道路养护施工进度按需到场。</w:t>
      </w:r>
    </w:p>
    <w:p w14:paraId="7C0BC00E"/>
    <w:sectPr>
      <w:headerReference r:id="rId5" w:type="default"/>
      <w:footerReference r:id="rId6" w:type="default"/>
      <w:pgSz w:w="11906" w:h="16838"/>
      <w:pgMar w:top="2098" w:right="1474" w:bottom="1984" w:left="1587" w:header="851" w:footer="1049" w:gutter="0"/>
      <w:pgNumType w:fmt="decimal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0E2E9">
    <w:pPr>
      <w:pStyle w:val="12"/>
      <w:spacing w:line="471" w:lineRule="auto"/>
      <w:rPr>
        <w:rFonts w:hint="eastAsia" w:ascii="仿宋_GB2312" w:hAnsi="仿宋_GB2312" w:eastAsia="仿宋_GB2312" w:cs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16CF7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1625" tIns="0" rIns="201625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KvUS2zWAAAABwEAAA8AAAAAAAAAAQAgAAAAIgAAAGRycy9kb3ducmV2&#10;LnhtbFBLAQIUABQAAAAIAIdO4kCsEi0G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13316CF7">
                    <w:pPr>
                      <w:pStyle w:val="12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89655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53DBF"/>
    <w:rsid w:val="04485564"/>
    <w:rsid w:val="0ED2440E"/>
    <w:rsid w:val="136922A2"/>
    <w:rsid w:val="1E0B1668"/>
    <w:rsid w:val="22EA356E"/>
    <w:rsid w:val="23F41E93"/>
    <w:rsid w:val="348D05DC"/>
    <w:rsid w:val="3ACF2BC4"/>
    <w:rsid w:val="424A7D48"/>
    <w:rsid w:val="42AD2B71"/>
    <w:rsid w:val="42E32228"/>
    <w:rsid w:val="47961C9D"/>
    <w:rsid w:val="4D897DB2"/>
    <w:rsid w:val="546B0A8F"/>
    <w:rsid w:val="56867584"/>
    <w:rsid w:val="56C5444C"/>
    <w:rsid w:val="5724721C"/>
    <w:rsid w:val="58147A79"/>
    <w:rsid w:val="5B01445B"/>
    <w:rsid w:val="64642182"/>
    <w:rsid w:val="7B272834"/>
    <w:rsid w:val="7BAA4093"/>
    <w:rsid w:val="7CC53DBF"/>
    <w:rsid w:val="7DB2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ind w:firstLine="1175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28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2 Char"/>
    <w:link w:val="3"/>
    <w:uiPriority w:val="0"/>
    <w:rPr>
      <w:rFonts w:ascii="楷体_GB2312" w:hAnsi="楷体_GB2312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2026-07-10T03:41:00Z</dcterms:created>
  <dc:creator>闲时</dc:creator>
  <cp:lastModifiedBy>闲时</cp:lastModifiedBy>
  <dcterms:modified xsi:type="dcterms:W3CDTF">2026-07-10T03:46:17Z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47EB3ECE63D44B838852F2452698802E_11</vt:lpwstr>
  </property>
  <property fmtid="{D5CDD505-2E9C-101B-9397-08002B2CF9AE}" pid="4" name="KSOTemplateDocerSaveRecord">
    <vt:lpwstr>eyJoZGlkIjoiYWQ1ZTFjZDlkNDBhNjI3YmIzMDkxMGUzYjkwOTc2NTYiLCJ1c2VySWQiOiIzOTMwMjUwOTYifQ==</vt:lpwstr>
  </property>
</Properties>
</file>